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50" w:lineRule="exact"/>
        <w:ind w:firstLine="0" w:firstLineChars="0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default" w:ascii="黑体" w:hAnsi="黑体" w:eastAsia="黑体" w:cs="黑体"/>
          <w:color w:val="000000"/>
          <w:sz w:val="32"/>
          <w:szCs w:val="32"/>
          <w:lang w:val="en-US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崂山区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“汽车购新”和“新车首保”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消费券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补贴活动实施细则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420" w:firstLineChars="200"/>
        <w:textAlignment w:val="auto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一、活动总则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自2025年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日起，开展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崂山区“汽车购新”消费补贴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“新车首保”消费补贴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，补贴资金总额360万元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“汽车购新”消费补贴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自2025年8月7日至9月6日，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个人消费者在崂山区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内报名参加活动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的汽车销售企业购买乘用车新车</w:t>
      </w:r>
      <w:r>
        <w:rPr>
          <w:rFonts w:hint="eastAsia" w:ascii="仿宋_GB2312" w:hAnsi="等线" w:eastAsia="仿宋_GB2312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不包括二手车交易</w:t>
      </w:r>
      <w:r>
        <w:rPr>
          <w:rFonts w:hint="eastAsia" w:ascii="仿宋_GB2312" w:hAnsi="等线" w:eastAsia="仿宋_GB2312" w:cs="Times New Roman"/>
          <w:sz w:val="32"/>
          <w:szCs w:val="32"/>
          <w:highlight w:val="none"/>
          <w:lang w:val="en-US" w:eastAsia="zh-CN"/>
        </w:rPr>
        <w:t>），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可凭购车金额（发票价税合计）申领最高额度10000元的“汽车购新”消费补贴。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“新车首保”消费补贴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自2025年8月7日至9月6日，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个人消费者在崂山区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内报名参加活动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的汽车销售企业购买乘用车新车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，在崂山区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开展车险业务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并有经济贡献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的保险公司（名单见活动页面）首次投保商业险+交强险（保障期限1年）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，可凭保险单等相关材料，申领新车首保消费补贴。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上述两项补贴政策不可重复享受。“汽车购新”补贴不可与国家以旧换新政策同时享受。“新车首保”补贴可选择与国家以旧换新政策叠加，但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可与青岛市同期实施的汽车保险消费补贴叠加享受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黑体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eastAsia="zh-CN"/>
        </w:rPr>
        <w:t>按照消费者在系统中提交完整合规、真实有效申领信息的先后顺序，先到先得，兑完即止，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申报系统开放期间，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显示补贴剩余金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额（仅供参考，以用户上传资料时的系统实时判断为准），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活动期间每人仅可享受一次优惠活动。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如活动资金提前使用完毕，另行公告结束。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57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highlight w:val="none"/>
        </w:rPr>
        <w:t>购车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highlight w:val="none"/>
          <w:lang w:eastAsia="zh-CN"/>
        </w:rPr>
        <w:t>发票、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highlight w:val="none"/>
          <w:lang w:val="en-US" w:eastAsia="zh-CN"/>
        </w:rPr>
        <w:t>保险发票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highlight w:val="none"/>
        </w:rPr>
        <w:t>及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highlight w:val="none"/>
          <w:lang w:eastAsia="zh-CN"/>
        </w:rPr>
        <w:t>保单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highlight w:val="none"/>
          <w:lang w:val="en-US" w:eastAsia="zh-CN"/>
        </w:rPr>
        <w:t>开具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highlight w:val="none"/>
        </w:rPr>
        <w:t>期限：2025年8月7日至9月6日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车辆登记期限：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2025年8月7日至9月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资料上传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期限：2025年8月7日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至9月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材料补正截止：2025年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17:00前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补贴消费券截止使用日期：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）参与范围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eastAsia="zh-CN"/>
        </w:rPr>
        <w:t>崂山区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有经济贡献的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eastAsia="zh-CN"/>
        </w:rPr>
        <w:t>汽车经销商，具体名单详见汽车消费券活动页面的“可用门店”。支持核销本次汽车消费券的商户为崂山区内重点商超、便利店及餐饮单位。活动开展过程中，将根据实际情况适时动态调整商户名单，参与商户名单以消费券服务平台发布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申领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“汽车购新”补贴申领条件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1.个人消费者新购车辆（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eastAsia="zh-CN"/>
        </w:rPr>
        <w:t>不包括二手车交易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），购买日期应在2025年8月7日-9月6日（含）之间，购买日期以汽车销售机构开具的《机动车销售统一发票》上载明的开票日期为准。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2.个人消费者购买的新车应当于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eastAsia="zh-CN"/>
        </w:rPr>
        <w:t>车辆登记时间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2025年9月10日前在青岛市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eastAsia="zh-CN"/>
        </w:rPr>
        <w:t>完成车辆初次登记上牌，取得《机动车登记证书》和《机动车行驶证》，注册日期以《机动车行驶证》上载明的注册日期为准。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“新车首保”补贴申领条件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补贴申请人、机动车所有人，申领“新车首保”消费补贴的投保人、被保险人，均需为同一人。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2.机动车保险包含机动车交通事故责任强制保险和机动车商业保险，其中机动车商业保险仅允许上传一份，保险费合计金额为所有保险发票的保险费的总和，重复投保的商业保险不计入保险费合计。机动车保险单日期在2025年8月7日至9月6日之间，保障期限为1年，被保险人需签订保险补贴诚信承诺书（见活动页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三、补贴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金额和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总预算：</w:t>
      </w:r>
      <w:r>
        <w:rPr>
          <w:rFonts w:hint="eastAsia" w:ascii="仿宋_GB2312" w:hAnsi="仿宋_GB2312" w:eastAsia="仿宋_GB2312" w:cs="仿宋_GB2312"/>
          <w:sz w:val="32"/>
          <w:szCs w:val="32"/>
        </w:rPr>
        <w:t>360万元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。“</w:t>
      </w:r>
      <w:r>
        <w:rPr>
          <w:rFonts w:hint="eastAsia" w:ascii="仿宋_GB2312" w:hAnsi="仿宋_GB2312" w:eastAsia="仿宋_GB2312" w:cs="仿宋_GB2312"/>
          <w:sz w:val="32"/>
          <w:szCs w:val="32"/>
        </w:rPr>
        <w:t>汽车购新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新车首保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共享额度，采取先到先得原则。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）“汽车购新”消费补贴</w:t>
      </w:r>
    </w:p>
    <w:tbl>
      <w:tblPr>
        <w:tblStyle w:val="8"/>
        <w:tblW w:w="8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4"/>
        <w:gridCol w:w="3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b/>
                <w:bCs/>
                <w:spacing w:val="-2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cs="仿宋_GB2312"/>
                <w:b/>
                <w:bCs/>
                <w:spacing w:val="-20"/>
                <w:kern w:val="0"/>
                <w:sz w:val="30"/>
                <w:szCs w:val="30"/>
                <w:highlight w:val="none"/>
              </w:rPr>
              <w:t>适应</w:t>
            </w:r>
            <w:r>
              <w:rPr>
                <w:rFonts w:ascii="仿宋_GB2312" w:hAnsi="宋体" w:cs="仿宋_GB2312"/>
                <w:b/>
                <w:bCs/>
                <w:spacing w:val="-20"/>
                <w:kern w:val="0"/>
                <w:sz w:val="30"/>
                <w:szCs w:val="30"/>
                <w:highlight w:val="none"/>
              </w:rPr>
              <w:t>条件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宋体" w:cs="仿宋_GB2312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ascii="仿宋_GB2312" w:hAnsi="宋体" w:cs="仿宋_GB2312"/>
                <w:b/>
                <w:bCs/>
                <w:spacing w:val="-20"/>
                <w:kern w:val="0"/>
                <w:sz w:val="30"/>
                <w:szCs w:val="30"/>
                <w:highlight w:val="none"/>
              </w:rPr>
              <w:t>（裸车购车发票金额</w:t>
            </w:r>
            <w:r>
              <w:rPr>
                <w:rFonts w:hint="eastAsia" w:ascii="仿宋_GB2312" w:hAnsi="宋体" w:cs="仿宋_GB2312"/>
                <w:b/>
                <w:bCs/>
                <w:spacing w:val="-20"/>
                <w:kern w:val="0"/>
                <w:sz w:val="30"/>
                <w:szCs w:val="30"/>
                <w:highlight w:val="none"/>
              </w:rPr>
              <w:t xml:space="preserve"> 含税</w:t>
            </w:r>
            <w:r>
              <w:rPr>
                <w:rFonts w:ascii="仿宋_GB2312" w:hAnsi="宋体" w:cs="仿宋_GB2312"/>
                <w:b/>
                <w:bCs/>
                <w:spacing w:val="-20"/>
                <w:kern w:val="0"/>
                <w:sz w:val="30"/>
                <w:szCs w:val="30"/>
                <w:highlight w:val="none"/>
              </w:rPr>
              <w:t>）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宋体" w:cs="仿宋_GB2312"/>
                <w:b/>
                <w:bCs/>
                <w:kern w:val="0"/>
                <w:sz w:val="30"/>
                <w:szCs w:val="30"/>
                <w:highlight w:val="none"/>
                <w:lang w:eastAsia="zh-CN"/>
              </w:rPr>
              <w:t>补贴金额（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30"/>
                <w:szCs w:val="30"/>
                <w:highlight w:val="none"/>
                <w:lang w:val="en-US" w:eastAsia="zh-CN"/>
              </w:rPr>
              <w:t>元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ascii="仿宋_GB2312" w:hAnsi="宋体" w:cs="仿宋_GB2312"/>
                <w:kern w:val="0"/>
                <w:sz w:val="30"/>
                <w:szCs w:val="30"/>
                <w:highlight w:val="none"/>
              </w:rPr>
              <w:t>5万元（含）</w:t>
            </w:r>
            <w:r>
              <w:rPr>
                <w:rFonts w:hint="eastAsia" w:ascii="仿宋_GB2312" w:hAnsi="宋体" w:cs="仿宋_GB2312"/>
                <w:kern w:val="0"/>
                <w:sz w:val="30"/>
                <w:szCs w:val="30"/>
                <w:highlight w:val="none"/>
              </w:rPr>
              <w:t>至1</w:t>
            </w:r>
            <w:r>
              <w:rPr>
                <w:rFonts w:hint="eastAsia" w:ascii="仿宋_GB2312" w:hAnsi="宋体" w:cs="仿宋_GB2312"/>
                <w:kern w:val="0"/>
                <w:sz w:val="30"/>
                <w:szCs w:val="30"/>
                <w:highlight w:val="none"/>
                <w:lang w:val="en-US" w:eastAsia="zh-CN"/>
              </w:rPr>
              <w:t>0</w:t>
            </w:r>
            <w:r>
              <w:rPr>
                <w:rFonts w:ascii="仿宋_GB2312" w:hAnsi="宋体" w:cs="仿宋_GB2312"/>
                <w:kern w:val="0"/>
                <w:sz w:val="30"/>
                <w:szCs w:val="30"/>
                <w:highlight w:val="none"/>
              </w:rPr>
              <w:t>万元</w:t>
            </w:r>
            <w:r>
              <w:rPr>
                <w:rFonts w:hint="eastAsia" w:ascii="仿宋_GB2312" w:hAnsi="宋体" w:cs="仿宋_GB2312"/>
                <w:kern w:val="0"/>
                <w:sz w:val="30"/>
                <w:szCs w:val="30"/>
                <w:highlight w:val="none"/>
              </w:rPr>
              <w:t>（不含）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ascii="仿宋_GB2312" w:hAnsi="宋体" w:cs="仿宋_GB2312"/>
                <w:kern w:val="0"/>
                <w:sz w:val="30"/>
                <w:szCs w:val="30"/>
                <w:highlight w:val="none"/>
              </w:rPr>
              <w:t>4</w:t>
            </w:r>
            <w:r>
              <w:rPr>
                <w:rFonts w:hint="eastAsia" w:ascii="仿宋_GB2312" w:hAnsi="宋体" w:cs="仿宋_GB2312"/>
                <w:kern w:val="0"/>
                <w:sz w:val="30"/>
                <w:szCs w:val="30"/>
                <w:highlight w:val="none"/>
              </w:rPr>
              <w:t>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ascii="仿宋_GB2312" w:hAnsi="宋体" w:cs="仿宋_GB2312"/>
                <w:kern w:val="0"/>
                <w:sz w:val="30"/>
                <w:szCs w:val="30"/>
                <w:highlight w:val="none"/>
              </w:rPr>
              <w:t>1</w:t>
            </w:r>
            <w:r>
              <w:rPr>
                <w:rFonts w:hint="eastAsia" w:ascii="仿宋_GB2312" w:hAnsi="宋体" w:cs="仿宋_GB2312"/>
                <w:kern w:val="0"/>
                <w:sz w:val="30"/>
                <w:szCs w:val="30"/>
                <w:highlight w:val="none"/>
                <w:lang w:val="en-US" w:eastAsia="zh-CN"/>
              </w:rPr>
              <w:t>0</w:t>
            </w:r>
            <w:r>
              <w:rPr>
                <w:rFonts w:ascii="仿宋_GB2312" w:hAnsi="宋体" w:cs="仿宋_GB2312"/>
                <w:kern w:val="0"/>
                <w:sz w:val="30"/>
                <w:szCs w:val="30"/>
                <w:highlight w:val="none"/>
              </w:rPr>
              <w:t>万元（含）</w:t>
            </w:r>
            <w:r>
              <w:rPr>
                <w:rFonts w:hint="eastAsia" w:ascii="仿宋_GB2312" w:hAnsi="宋体" w:cs="仿宋_GB2312"/>
                <w:kern w:val="0"/>
                <w:sz w:val="30"/>
                <w:szCs w:val="30"/>
                <w:highlight w:val="none"/>
              </w:rPr>
              <w:t>至</w:t>
            </w:r>
            <w:r>
              <w:rPr>
                <w:rFonts w:hint="eastAsia" w:ascii="仿宋_GB2312" w:hAnsi="宋体" w:cs="仿宋_GB2312"/>
                <w:kern w:val="0"/>
                <w:sz w:val="30"/>
                <w:szCs w:val="30"/>
                <w:highlight w:val="none"/>
                <w:lang w:val="en-US" w:eastAsia="zh-CN"/>
              </w:rPr>
              <w:t>2</w:t>
            </w:r>
            <w:r>
              <w:rPr>
                <w:rFonts w:ascii="仿宋_GB2312" w:hAnsi="宋体" w:cs="仿宋_GB2312"/>
                <w:kern w:val="0"/>
                <w:sz w:val="30"/>
                <w:szCs w:val="30"/>
                <w:highlight w:val="none"/>
              </w:rPr>
              <w:t>0万元</w:t>
            </w:r>
            <w:r>
              <w:rPr>
                <w:rFonts w:hint="eastAsia" w:ascii="仿宋_GB2312" w:hAnsi="宋体" w:cs="仿宋_GB2312"/>
                <w:kern w:val="0"/>
                <w:sz w:val="30"/>
                <w:szCs w:val="30"/>
                <w:highlight w:val="none"/>
              </w:rPr>
              <w:t>（不含）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jc w:val="center"/>
              <w:textAlignment w:val="center"/>
              <w:rPr>
                <w:rFonts w:ascii="仿宋_GB2312" w:hAnsi="宋体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cs="仿宋_GB2312"/>
                <w:kern w:val="0"/>
                <w:sz w:val="30"/>
                <w:szCs w:val="30"/>
                <w:highlight w:val="none"/>
              </w:rPr>
              <w:t>6</w:t>
            </w:r>
            <w:r>
              <w:rPr>
                <w:rFonts w:ascii="仿宋_GB2312" w:hAnsi="宋体" w:cs="仿宋_GB2312"/>
                <w:kern w:val="0"/>
                <w:sz w:val="30"/>
                <w:szCs w:val="30"/>
                <w:highlight w:val="none"/>
              </w:rPr>
              <w:t>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cs="仿宋_GB2312"/>
                <w:kern w:val="0"/>
                <w:sz w:val="30"/>
                <w:szCs w:val="30"/>
                <w:highlight w:val="none"/>
                <w:lang w:val="en-US" w:eastAsia="zh-CN"/>
              </w:rPr>
              <w:t>20</w:t>
            </w:r>
            <w:r>
              <w:rPr>
                <w:rFonts w:ascii="仿宋_GB2312" w:hAnsi="宋体" w:cs="仿宋_GB2312"/>
                <w:kern w:val="0"/>
                <w:sz w:val="30"/>
                <w:szCs w:val="30"/>
                <w:highlight w:val="none"/>
              </w:rPr>
              <w:t>万元（含）</w:t>
            </w:r>
            <w:r>
              <w:rPr>
                <w:rFonts w:hint="eastAsia" w:ascii="仿宋_GB2312" w:hAnsi="宋体" w:cs="仿宋_GB2312"/>
                <w:kern w:val="0"/>
                <w:sz w:val="30"/>
                <w:szCs w:val="30"/>
                <w:highlight w:val="none"/>
              </w:rPr>
              <w:t>至</w:t>
            </w:r>
            <w:r>
              <w:rPr>
                <w:rFonts w:hint="eastAsia" w:ascii="仿宋_GB2312" w:hAnsi="宋体" w:cs="仿宋_GB2312"/>
                <w:kern w:val="0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ascii="仿宋_GB2312" w:hAnsi="宋体" w:cs="仿宋_GB2312"/>
                <w:kern w:val="0"/>
                <w:sz w:val="30"/>
                <w:szCs w:val="30"/>
                <w:highlight w:val="none"/>
              </w:rPr>
              <w:t>0万元</w:t>
            </w:r>
            <w:r>
              <w:rPr>
                <w:rFonts w:hint="eastAsia" w:ascii="仿宋_GB2312" w:hAnsi="宋体" w:cs="仿宋_GB2312"/>
                <w:kern w:val="0"/>
                <w:sz w:val="30"/>
                <w:szCs w:val="30"/>
                <w:highlight w:val="none"/>
              </w:rPr>
              <w:t>（不含）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cs="仿宋_GB2312"/>
                <w:kern w:val="0"/>
                <w:sz w:val="30"/>
                <w:szCs w:val="30"/>
                <w:highlight w:val="none"/>
              </w:rPr>
              <w:t>8000元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cs="仿宋_GB2312"/>
                <w:kern w:val="0"/>
                <w:sz w:val="30"/>
                <w:szCs w:val="30"/>
                <w:highlight w:val="none"/>
              </w:rPr>
              <w:t>0万元（含）以上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jc w:val="center"/>
              <w:textAlignment w:val="center"/>
              <w:rPr>
                <w:rFonts w:hint="default" w:ascii="仿宋_GB2312" w:hAnsi="宋体" w:cs="仿宋_GB2312" w:eastAsiaTheme="minorEastAsia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30"/>
                <w:szCs w:val="30"/>
                <w:highlight w:val="none"/>
                <w:lang w:val="en-US" w:eastAsia="zh-CN"/>
              </w:rPr>
              <w:t>10000元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）“新车首保”消费补贴</w:t>
      </w:r>
    </w:p>
    <w:tbl>
      <w:tblPr>
        <w:tblStyle w:val="8"/>
        <w:tblW w:w="8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4"/>
        <w:gridCol w:w="3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spacing w:val="-2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cs="仿宋_GB2312"/>
                <w:b/>
                <w:bCs/>
                <w:spacing w:val="-20"/>
                <w:kern w:val="0"/>
                <w:sz w:val="30"/>
                <w:szCs w:val="30"/>
                <w:highlight w:val="none"/>
                <w:lang w:val="en-US" w:eastAsia="zh-CN"/>
              </w:rPr>
              <w:t xml:space="preserve"> 保险费合计金额（元）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spacing w:val="-20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宋体" w:cs="仿宋_GB2312"/>
                <w:b/>
                <w:bCs/>
                <w:spacing w:val="-20"/>
                <w:kern w:val="0"/>
                <w:sz w:val="30"/>
                <w:szCs w:val="30"/>
                <w:highlight w:val="none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4000（含）-5000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5000（含）-6000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jc w:val="center"/>
              <w:textAlignment w:val="center"/>
              <w:rPr>
                <w:rFonts w:ascii="仿宋_GB2312" w:hAnsi="宋体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6000（含）-7000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jc w:val="center"/>
              <w:textAlignment w:val="center"/>
              <w:rPr>
                <w:rFonts w:hint="eastAsia" w:ascii="仿宋_GB2312" w:hAnsi="宋体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7000（含）-8000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jc w:val="center"/>
              <w:textAlignment w:val="center"/>
              <w:rPr>
                <w:rFonts w:hint="default" w:ascii="仿宋_GB2312" w:hAnsi="宋体" w:cs="仿宋_GB2312" w:eastAsiaTheme="minorEastAsia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8000（含）以上</w:t>
            </w:r>
          </w:p>
        </w:tc>
        <w:tc>
          <w:tcPr>
            <w:tcW w:w="3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5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如申领金额超出补贴标准的，以补贴标准金额为准；申领金额超过剩余金额的，以剩余金额作为补贴标准。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四、申领流程（云闪付APP）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）申请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申请人可提前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通过各大应用商城下载云闪付APP，完成注册和实名认证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绑定一张本人名下的银联卡。如消费者此前已注册绑卡，则可忽略该步骤。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消费者在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报名参加活动的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汽车销售商户使用云闪付APP已绑定的银联卡刷卡/插卡/挥卡支付定金或（全额或部分）车款，金额不低于10000元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，该笔交易不可撤销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。消费者请妥善保留刷卡POS小票发票等实物及照片，作为后续证明材料上传。请车企使用银联商务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指定POS机进行刷卡/插卡/挥卡。消费者在刷卡时，需确保该卡在消费前已绑定本人云闪付APP账户，且绑定的云闪付账户实名信息、实际车辆注册人身份信息、个人购车发票抬头信息需保持一致。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申请人应于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2025年8月7日10:00-9月10日17:00前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登录“云闪付”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APP，在指定页面上传购车资料。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登录云闪付APP，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点击“青岛消费券”—“区消费券”—“崂山区”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—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崂山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汽车购新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’和‘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新车首保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消费补贴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活动”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进入活动页面。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照平台系统提示上传相关信息，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有效证明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资料包括但不限于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车主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身份证正反面照片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机动车销售统一发票（发票联）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机动车登记证书（第一、二页，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三天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内上传有效，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注册日期需在活动期内）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机动车行驶证照片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三天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内上传有效，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注册日期需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在活动期内）、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1万元以上银行卡交易POS签购单（必须是刷卡、挥卡、插卡交易）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及其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他必要证明材料。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申领“新车首保消费”补贴的，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需根据商业险+交强险保险发票金额手动选择补贴档位，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同时上传机动车交通事故责任强制保险单、商业保险单、保险发票原件照片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1份），及保险补贴诚信承诺书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原件照片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（模板见活动页面）。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）审核与补正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审核时按照申请人上传材料首次提交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正确材料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成功时间进行排序，对申请人上传的资料依次进行审核。申请人通过资料上传入口及时关注查看资料审核进度，未通过审核需尽快补正提交。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申请人提交的信息真实、有效、清晰、完整、符合补贴条件的，予以审核通过；申请人提交的信息不符合补贴条件的，需尽快补正并提交有关资料，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届时未重新上传，视同放弃本次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活动，不再予以承兑。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五、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消费券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发放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及使用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消费券补贴发放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审核完毕后对符合条件的申请人通过崂山政务网、崂山商务微信公众号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（公示时间为3个工作日），公示期满且无异议后，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会以短信的形式通知申请人。短信通知发送后3个工作日内会将对应额度的消费券派发到申请人“云闪付”APP券包。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楷体" w:hAnsi="楷体" w:eastAsia="楷体" w:cs="楷体"/>
          <w:color w:val="FF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消费券使用规则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消费者上传的材料经初审、终审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，公示无异议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后，可获得对应金额的云闪付消费券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并以云闪付消费券包的形式（单张面额为500元的消费券组合，单笔交易可叠加使用，单笔交易满501元可使用一张消费券，单笔交易满1002元可使用两张优惠券，以此类推）发放至消费者的云闪付账户内。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2.为保障购车者权益，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消费券补贴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根据审核进度分批次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发放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最后一次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预计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月下旬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发放完毕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，具体发放时间以票券实际到账时间为准，消费券补贴最晚使用日期截止2025年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日23:59:59。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汽车补贴消费券不能抵用现金，可在崂山区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报名参加活动的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的商超、便利店及餐饮单位等消费抵扣。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若券过期未核销则不再补发。消费者可登录“我的”-“优惠券”-“支付券”中查看消费券情况。消费券一经使用，消费券有效期内，如发生部分退货行为(如总订单金额1002元，仅退货300元)，则所对应消费券不予返还，如发生全额退货行为，则优惠券可在T+1日返还（返还有效期与消费券有效期一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(三)适用商户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崂山区消费券活动商户可参见“青岛消费券”-“区消费券”-“崂山区”-“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崂山汽车消费券补贴活动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”-“消费券适用商户”。在商户消费时，请先告知收银员使用崂山区汽车消费券，出示云闪付APP生成的“付款码”，收银员扫码完成支付。参加活动时请将APP更新到最新版本，并保证GPS打开且定位在青岛。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六、监督与违规处理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）企业责任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严禁虚开发票、抬高售价或收取手续费，违者追究责任。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2.如参与企业操作失误（包括但不限于开错发票、填错信息、代办疏忽等）或在关键节点未尽提醒义务，导致个人消费者无法申领补贴，由参与企业自行负责。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）消费者责任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发现伪造材料、骗补等行为，取消资格并依法处置，三年内不得参与崂山区消费活动。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因汽车转让等事宜办理机动车交强险及商业险的退保或批减险种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将全额退还已享受的汽车消费补贴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并承担由此产生的问题、纠纷及法律责任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保险公司须在平台确认资金到账后方可办理退保手续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）技术风控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云闪付风控系统自动监测异常行为，违规者取消资格并追回补贴。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七、其他说明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）本次活动由活动承办平台负责相关具体服务，包括但不限于宣传沟通、平台管控、材料审核、风险监控、客诉处理等工作，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对于操作使用或流程中的具体问题存在疑问可致电热线电话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95534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请人应当如实填报信息，并对申报信息的真实性负责。汽车销售企业和所属销售人员应依法经营、诚信经营，严禁借政策实施之机抬高汽车销售价格，严禁多开、虚开、伪造销售发票，不得以协助办理补贴申请为名，收取任何费用。对发现存在上述问题的，有关部门要严肃追究企业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对挪用、骗取补贴资金的单位和个人，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依据国务院令第427号（《财政违法行为处罚处分条例》）及其他有关法规进行处理。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实施过程中遇国家、山东省政策调整或变更，以国家、山东省最新政策规定为准。出现影响活动执行的有关情形，本细则及时进行优化调整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崂山区商务局保留最终解释权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-237490</wp:posOffset>
              </wp:positionV>
              <wp:extent cx="941705" cy="3835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1705" cy="383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7pt;height:30.2pt;width:74.1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BmHcQ41gAAAAcBAAAPAAAAAAAA&#10;AAEAIAAAADgAAABkcnMvZG93bnJldi54bWxQSwECFAAUAAAACACHTuJAnsG/OzcCAABhBAAADgAA&#10;AAAAAAABACAAAAA7AQAAZHJzL2Uyb0RvYy54bWxQSwUGAAAAAAYABgBZAQAA5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F1723"/>
    <w:rsid w:val="04263431"/>
    <w:rsid w:val="06436049"/>
    <w:rsid w:val="08922DE4"/>
    <w:rsid w:val="0CF34297"/>
    <w:rsid w:val="10357777"/>
    <w:rsid w:val="132C743D"/>
    <w:rsid w:val="1357641D"/>
    <w:rsid w:val="1FDFC933"/>
    <w:rsid w:val="204326FE"/>
    <w:rsid w:val="21073D4D"/>
    <w:rsid w:val="26372CAD"/>
    <w:rsid w:val="26D06310"/>
    <w:rsid w:val="27F21951"/>
    <w:rsid w:val="2A167330"/>
    <w:rsid w:val="2A5311F4"/>
    <w:rsid w:val="2F38ADEA"/>
    <w:rsid w:val="30BA4FD6"/>
    <w:rsid w:val="328155B9"/>
    <w:rsid w:val="36E63BDB"/>
    <w:rsid w:val="37895702"/>
    <w:rsid w:val="3A7C499E"/>
    <w:rsid w:val="3B893F22"/>
    <w:rsid w:val="3C874EDB"/>
    <w:rsid w:val="3D271C45"/>
    <w:rsid w:val="3DB7AFC9"/>
    <w:rsid w:val="3F8337A0"/>
    <w:rsid w:val="421952FE"/>
    <w:rsid w:val="434C786B"/>
    <w:rsid w:val="437BBAB6"/>
    <w:rsid w:val="46FFA1D0"/>
    <w:rsid w:val="476A7E72"/>
    <w:rsid w:val="47FE2A96"/>
    <w:rsid w:val="49C20BC6"/>
    <w:rsid w:val="55BB196D"/>
    <w:rsid w:val="55FFC21F"/>
    <w:rsid w:val="56CF7CEF"/>
    <w:rsid w:val="5A9D19E3"/>
    <w:rsid w:val="5BDC026E"/>
    <w:rsid w:val="5BEA43AA"/>
    <w:rsid w:val="5DF6A7D9"/>
    <w:rsid w:val="60CE780F"/>
    <w:rsid w:val="616261F6"/>
    <w:rsid w:val="61FA2BD4"/>
    <w:rsid w:val="72A83FE3"/>
    <w:rsid w:val="72DD7086"/>
    <w:rsid w:val="74BF1DD3"/>
    <w:rsid w:val="7BFD8A13"/>
    <w:rsid w:val="7FBDBCF3"/>
    <w:rsid w:val="7FBF11F8"/>
    <w:rsid w:val="7FF381BF"/>
    <w:rsid w:val="7FFEF9A5"/>
    <w:rsid w:val="97DE5D43"/>
    <w:rsid w:val="9FFF5D1E"/>
    <w:rsid w:val="A6E5EE27"/>
    <w:rsid w:val="BF7AE4E1"/>
    <w:rsid w:val="BF9FE148"/>
    <w:rsid w:val="BFF38BBD"/>
    <w:rsid w:val="CBF1C78E"/>
    <w:rsid w:val="CFBD1776"/>
    <w:rsid w:val="D55EB691"/>
    <w:rsid w:val="DBD71662"/>
    <w:rsid w:val="DFF7F851"/>
    <w:rsid w:val="E5B7143F"/>
    <w:rsid w:val="E7FFA07E"/>
    <w:rsid w:val="EB7246FC"/>
    <w:rsid w:val="F2FDE57C"/>
    <w:rsid w:val="F47157BD"/>
    <w:rsid w:val="FBFF2E99"/>
    <w:rsid w:val="FDFA7051"/>
    <w:rsid w:val="FDFD3ABB"/>
    <w:rsid w:val="FEFDFC71"/>
    <w:rsid w:val="FF3389C4"/>
    <w:rsid w:val="FFDB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qFormat/>
    <w:uiPriority w:val="0"/>
    <w:pPr>
      <w:widowControl/>
      <w:spacing w:before="100" w:beforeAutospacing="1" w:after="100" w:afterAutospacing="1"/>
      <w:ind w:left="0" w:leftChars="0" w:firstLine="420" w:firstLineChars="200"/>
      <w:jc w:val="left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3594</Words>
  <Characters>3814</Characters>
  <Lines>0</Lines>
  <Paragraphs>0</Paragraphs>
  <TotalTime>2</TotalTime>
  <ScaleCrop>false</ScaleCrop>
  <LinksUpToDate>false</LinksUpToDate>
  <CharactersWithSpaces>3823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_Thhfff</cp:lastModifiedBy>
  <cp:lastPrinted>2025-07-31T03:38:00Z</cp:lastPrinted>
  <dcterms:modified xsi:type="dcterms:W3CDTF">2025-07-31T15:13:11Z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KSOTemplateDocerSaveRecord">
    <vt:lpwstr>eyJoZGlkIjoiOTU1ZmExNTg3MzAyNjMyNTY5NWRhZjVmYjI4ZmZhNzMiLCJ1c2VySWQiOiI0Mzk5MTY5MDMifQ==</vt:lpwstr>
  </property>
  <property fmtid="{D5CDD505-2E9C-101B-9397-08002B2CF9AE}" pid="4" name="ICV">
    <vt:lpwstr>1CE47E1661104DF8BB337246A455B361_13</vt:lpwstr>
  </property>
</Properties>
</file>