
<file path=[Content_Types].xml><?xml version="1.0" encoding="utf-8"?>
<Types xmlns="http://schemas.openxmlformats.org/package/2006/content-types">
  <Default Extension="xml" ContentType="application/xml"/>
  <Default Extension="png" ContentType="image/png"/>
  <Default Extension="tiff" ContentType="image/tif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framePr w:wrap="notBeside" w:vAnchor="page" w:hAnchor="page" w:x="1372" w:y="568"/>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w:t>
      </w:r>
      <w:r>
        <w:rPr>
          <w:rFonts w:hint="eastAsia" w:ascii="宋体" w:hAnsi="宋体" w:eastAsia="宋体" w:cs="宋体"/>
          <w:sz w:val="32"/>
          <w:szCs w:val="32"/>
          <w:lang w:val="en-US" w:eastAsia="zh-CN"/>
        </w:rPr>
        <w:t>1</w:t>
      </w:r>
    </w:p>
    <w:tbl>
      <w:tblPr>
        <w:tblStyle w:val="2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509"/>
        <w:gridCol w:w="88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19"/>
              <w:framePr w:wrap="notBeside" w:vAnchor="page" w:hAnchor="page" w:x="1372" w:y="568"/>
              <w:tabs>
                <w:tab w:val="clear" w:pos="4153"/>
                <w:tab w:val="clear" w:pos="8306"/>
              </w:tabs>
              <w:spacing w:line="240" w:lineRule="auto"/>
              <w:jc w:val="left"/>
              <w:rPr>
                <w:rFonts w:hint="eastAsia" w:ascii="黑体" w:hAnsi="黑体" w:eastAsia="黑体"/>
                <w:sz w:val="21"/>
                <w:szCs w:val="21"/>
              </w:rPr>
            </w:pPr>
            <w:r>
              <w:rPr>
                <w:rFonts w:ascii="Times New Roman" w:hAnsi="Times New Roman" w:eastAsia="黑体"/>
                <w:sz w:val="21"/>
                <w:szCs w:val="21"/>
              </w:rPr>
              <w:t>ICS</w:t>
            </w:r>
            <w:r>
              <w:rPr>
                <w:rFonts w:ascii="黑体" w:hAnsi="黑体" w:eastAsia="黑体"/>
                <w:sz w:val="21"/>
                <w:szCs w:val="21"/>
              </w:rPr>
              <w:t xml:space="preserve">  </w:t>
            </w:r>
          </w:p>
        </w:tc>
        <w:tc>
          <w:tcPr>
            <w:tcW w:w="8845" w:type="dxa"/>
          </w:tcPr>
          <w:p>
            <w:pPr>
              <w:pStyle w:val="19"/>
              <w:framePr w:wrap="notBeside" w:vAnchor="page" w:hAnchor="page" w:x="1372" w:y="568"/>
              <w:tabs>
                <w:tab w:val="clear" w:pos="4153"/>
                <w:tab w:val="clear" w:pos="8306"/>
              </w:tabs>
              <w:spacing w:line="240" w:lineRule="auto"/>
              <w:ind w:left="3"/>
              <w:jc w:val="both"/>
              <w:rPr>
                <w:rFonts w:hint="eastAsia" w:ascii="黑体" w:hAnsi="黑体" w:eastAsia="黑体"/>
                <w:sz w:val="21"/>
                <w:szCs w:val="21"/>
              </w:rPr>
            </w:pPr>
            <w:r>
              <w:rPr>
                <w:rFonts w:ascii="黑体" w:hAnsi="黑体" w:eastAsia="黑体"/>
                <w:sz w:val="21"/>
                <w:szCs w:val="21"/>
              </w:rPr>
              <w:fldChar w:fldCharType="begin">
                <w:ffData>
                  <w:name w:val="ICS"/>
                  <w:enabled/>
                  <w:calcOnExit w:val="0"/>
                  <w:textInput>
                    <w:default w:val="点击此处添加ICS号"/>
                  </w:textInput>
                </w:ffData>
              </w:fldChar>
            </w:r>
            <w:bookmarkStart w:id="0" w:name="ICS"/>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13.100</w:t>
            </w:r>
            <w:r>
              <w:rPr>
                <w:rFonts w:ascii="黑体" w:hAnsi="黑体" w:eastAsia="黑体"/>
                <w:sz w:val="21"/>
                <w:szCs w:val="21"/>
              </w:rPr>
              <w:fldChar w:fldCharType="end"/>
            </w:r>
            <w:bookmarkEnd w:id="0"/>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509" w:type="dxa"/>
          </w:tcPr>
          <w:p>
            <w:pPr>
              <w:pStyle w:val="19"/>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ascii="Times New Roman" w:hAnsi="Times New Roman" w:eastAsia="黑体"/>
                <w:sz w:val="21"/>
                <w:szCs w:val="21"/>
              </w:rPr>
              <w:t xml:space="preserve">CCS </w:t>
            </w:r>
            <w:r>
              <w:rPr>
                <w:rFonts w:ascii="黑体" w:hAnsi="黑体" w:eastAsia="黑体"/>
                <w:sz w:val="21"/>
                <w:szCs w:val="21"/>
              </w:rPr>
              <w:t xml:space="preserve"> </w:t>
            </w:r>
          </w:p>
        </w:tc>
        <w:tc>
          <w:tcPr>
            <w:tcW w:w="8845" w:type="dxa"/>
          </w:tcPr>
          <w:p>
            <w:pPr>
              <w:pStyle w:val="19"/>
              <w:framePr w:wrap="notBeside" w:vAnchor="page" w:hAnchor="page" w:x="1372" w:y="568"/>
              <w:tabs>
                <w:tab w:val="clear" w:pos="4153"/>
                <w:tab w:val="clear" w:pos="8306"/>
              </w:tabs>
              <w:spacing w:before="40" w:line="240" w:lineRule="auto"/>
              <w:jc w:val="left"/>
              <w:rPr>
                <w:rFonts w:hint="eastAsia" w:ascii="黑体" w:hAnsi="黑体" w:eastAsia="黑体"/>
                <w:sz w:val="21"/>
                <w:szCs w:val="21"/>
              </w:rPr>
            </w:pPr>
            <w:r>
              <w:rPr>
                <w:rFonts w:hint="eastAsia" w:ascii="黑体" w:hAnsi="黑体" w:eastAsia="黑体"/>
                <w:sz w:val="21"/>
                <w:szCs w:val="21"/>
              </w:rPr>
              <w:t>C</w:t>
            </w:r>
            <w:r>
              <w:rPr>
                <w:rFonts w:ascii="黑体" w:hAnsi="黑体" w:eastAsia="黑体"/>
                <w:sz w:val="21"/>
                <w:szCs w:val="21"/>
              </w:rPr>
              <w:fldChar w:fldCharType="begin">
                <w:ffData>
                  <w:name w:val="CSDN"/>
                  <w:enabled/>
                  <w:calcOnExit w:val="0"/>
                  <w:textInput>
                    <w:default w:val="点击此处添加CCS号"/>
                  </w:textInput>
                </w:ffData>
              </w:fldChar>
            </w:r>
            <w:bookmarkStart w:id="1" w:name="CSDN"/>
            <w:r>
              <w:rPr>
                <w:rFonts w:ascii="黑体" w:hAnsi="黑体" w:eastAsia="黑体"/>
                <w:sz w:val="21"/>
                <w:szCs w:val="21"/>
              </w:rPr>
              <w:instrText xml:space="preserve"> FORMTEXT </w:instrText>
            </w:r>
            <w:r>
              <w:rPr>
                <w:rFonts w:ascii="黑体" w:hAnsi="黑体" w:eastAsia="黑体"/>
                <w:sz w:val="21"/>
                <w:szCs w:val="21"/>
              </w:rPr>
              <w:fldChar w:fldCharType="separate"/>
            </w:r>
            <w:r>
              <w:rPr>
                <w:rFonts w:hint="eastAsia" w:ascii="黑体" w:hAnsi="黑体" w:eastAsia="黑体"/>
                <w:sz w:val="21"/>
                <w:szCs w:val="21"/>
              </w:rPr>
              <w:t>78</w:t>
            </w:r>
            <w:r>
              <w:rPr>
                <w:rFonts w:ascii="黑体" w:hAnsi="黑体" w:eastAsia="黑体"/>
                <w:sz w:val="21"/>
                <w:szCs w:val="21"/>
              </w:rPr>
              <w:fldChar w:fldCharType="end"/>
            </w:r>
            <w:bookmarkEnd w:id="1"/>
          </w:p>
        </w:tc>
      </w:tr>
    </w:tbl>
    <w:p>
      <w:pPr>
        <w:pStyle w:val="212"/>
        <w:framePr w:h="624" w:hRule="exact" w:hSpace="181" w:vSpace="181" w:wrap="around" w:hAnchor="page" w:x="1305" w:y="2269"/>
      </w:pPr>
      <w:bookmarkStart w:id="2" w:name="_Hlk26473981"/>
      <w:r>
        <w:rPr>
          <w:rFonts w:hint="eastAsia"/>
        </w:rPr>
        <w:t>中华人民共和国国家标准</w:t>
      </w:r>
    </w:p>
    <w:bookmarkEnd w:id="2"/>
    <w:p>
      <w:pPr>
        <w:pStyle w:val="143"/>
        <w:framePr w:wrap="around"/>
        <w:rPr>
          <w:lang w:val="fr-FR"/>
        </w:rPr>
      </w:pPr>
      <w:r>
        <w:fldChar w:fldCharType="begin">
          <w:ffData>
            <w:name w:val="文字1"/>
            <w:enabled/>
            <w:calcOnExit w:val="0"/>
            <w:textInput>
              <w:default w:val="GB/T"/>
            </w:textInput>
          </w:ffData>
        </w:fldChar>
      </w:r>
      <w:bookmarkStart w:id="3" w:name="文字1"/>
      <w:r>
        <w:rPr>
          <w:lang w:val="fr-FR"/>
        </w:rPr>
        <w:instrText xml:space="preserve"> FORMTEXT </w:instrText>
      </w:r>
      <w:r>
        <w:fldChar w:fldCharType="separate"/>
      </w:r>
      <w:r>
        <w:rPr>
          <w:lang w:val="fr-FR"/>
        </w:rPr>
        <w:t>GB/T</w:t>
      </w:r>
      <w:r>
        <w:fldChar w:fldCharType="end"/>
      </w:r>
      <w:bookmarkEnd w:id="3"/>
      <w:r>
        <w:rPr>
          <w:lang w:val="fr-FR"/>
        </w:rPr>
        <w:t xml:space="preserve"> </w:t>
      </w:r>
      <w:r>
        <w:fldChar w:fldCharType="begin">
          <w:ffData>
            <w:name w:val="NSTD_CODE_F"/>
            <w:enabled/>
            <w:calcOnExit w:val="0"/>
            <w:textInput>
              <w:default w:val="XXXXX"/>
            </w:textInput>
          </w:ffData>
        </w:fldChar>
      </w:r>
      <w:bookmarkStart w:id="4" w:name="NSTD_CODE_F"/>
      <w:r>
        <w:rPr>
          <w:lang w:val="fr-FR"/>
        </w:rPr>
        <w:instrText xml:space="preserve"> FORMTEXT </w:instrText>
      </w:r>
      <w:r>
        <w:fldChar w:fldCharType="separate"/>
      </w:r>
      <w:r>
        <w:rPr>
          <w:rFonts w:hint="eastAsia"/>
          <w:lang w:val="fr-FR"/>
        </w:rPr>
        <w:t>3</w:t>
      </w:r>
      <w:r>
        <w:rPr>
          <w:rFonts w:hint="eastAsia"/>
        </w:rPr>
        <w:t>3000</w:t>
      </w:r>
      <w:r>
        <w:fldChar w:fldCharType="end"/>
      </w:r>
      <w:bookmarkEnd w:id="4"/>
      <w:r>
        <w:rPr>
          <w:rFonts w:hAnsi="黑体"/>
          <w:lang w:val="fr-FR"/>
        </w:rPr>
        <w:t>—</w:t>
      </w:r>
      <w:r>
        <w:fldChar w:fldCharType="begin">
          <w:ffData>
            <w:name w:val="NSTD_CODE_B"/>
            <w:enabled/>
            <w:calcOnExit w:val="0"/>
            <w:textInput>
              <w:default w:val="XXXX"/>
            </w:textInput>
          </w:ffData>
        </w:fldChar>
      </w:r>
      <w:bookmarkStart w:id="5" w:name="NSTD_CODE_B"/>
      <w:r>
        <w:rPr>
          <w:lang w:val="fr-FR"/>
        </w:rPr>
        <w:instrText xml:space="preserve"> FORMTEXT </w:instrText>
      </w:r>
      <w:r>
        <w:fldChar w:fldCharType="separate"/>
      </w:r>
      <w:r>
        <w:rPr>
          <w:lang w:val="fr-FR"/>
        </w:rPr>
        <w:t>XXXX</w:t>
      </w:r>
      <w:r>
        <w:fldChar w:fldCharType="end"/>
      </w:r>
      <w:bookmarkEnd w:id="5"/>
    </w:p>
    <w:p>
      <w:pPr>
        <w:pStyle w:val="180"/>
        <w:framePr w:wrap="around"/>
        <w:rPr>
          <w:rFonts w:hint="eastAsia" w:hAnsi="黑体"/>
        </w:rPr>
      </w:pPr>
      <w:r>
        <w:rPr>
          <w:rFonts w:hAnsi="黑体"/>
        </w:rPr>
        <w:fldChar w:fldCharType="begin">
          <w:ffData>
            <w:name w:val="OSTD_CODE"/>
            <w:enabled/>
            <w:calcOnExit w:val="0"/>
            <w:textInput/>
          </w:ffData>
        </w:fldChar>
      </w:r>
      <w:bookmarkStart w:id="6" w:name="OSTD_CODE"/>
      <w:r>
        <w:rPr>
          <w:rFonts w:hAnsi="黑体"/>
        </w:rPr>
        <w:instrText xml:space="preserve"> FORMTEXT </w:instrText>
      </w:r>
      <w:r>
        <w:rPr>
          <w:rFonts w:hAnsi="黑体"/>
        </w:rPr>
        <w:fldChar w:fldCharType="separate"/>
      </w:r>
      <w:r>
        <w:rPr>
          <w:rFonts w:hAnsi="黑体"/>
        </w:rPr>
        <w:t>代替 GB/T</w:t>
      </w:r>
      <w:r>
        <w:rPr>
          <w:rFonts w:hint="eastAsia" w:hAnsi="黑体"/>
        </w:rPr>
        <w:t xml:space="preserve"> 33000-2016</w:t>
      </w:r>
      <w:r>
        <w:rPr>
          <w:rFonts w:hAnsi="黑体"/>
        </w:rPr>
        <w:fldChar w:fldCharType="end"/>
      </w:r>
      <w:bookmarkEnd w:id="6"/>
    </w:p>
    <w:p>
      <w:pPr>
        <w:spacing w:line="240" w:lineRule="auto"/>
        <w:ind w:left="8080"/>
        <w:rPr>
          <w:rFonts w:hint="eastAsia" w:ascii="黑体" w:hAnsi="黑体" w:eastAsia="黑体"/>
          <w:kern w:val="0"/>
          <w:sz w:val="52"/>
          <w:szCs w:val="20"/>
        </w:rPr>
      </w:pPr>
      <w:r>
        <w:rPr>
          <w:rFonts w:ascii="黑体" w:hAnsi="黑体" w:eastAsia="黑体"/>
          <w:kern w:val="0"/>
          <w:sz w:val="52"/>
          <w:szCs w:val="20"/>
        </w:rPr>
        <mc:AlternateContent>
          <mc:Choice Requires="wps">
            <w:drawing>
              <wp:anchor distT="0" distB="0" distL="114300" distR="114300" simplePos="0" relativeHeight="251660288" behindDoc="0" locked="0" layoutInCell="1" allowOverlap="0">
                <wp:simplePos x="0" y="0"/>
                <wp:positionH relativeFrom="page">
                  <wp:posOffset>900430</wp:posOffset>
                </wp:positionH>
                <wp:positionV relativeFrom="page">
                  <wp:posOffset>2700655</wp:posOffset>
                </wp:positionV>
                <wp:extent cx="6120130" cy="0"/>
                <wp:effectExtent l="0" t="4445" r="0" b="5080"/>
                <wp:wrapNone/>
                <wp:docPr id="73" name="直接连接符 73"/>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9pt;margin-top:212.65pt;height:0pt;width:481.9pt;mso-position-horizontal-relative:page;mso-position-vertical-relative:page;z-index:251660288;mso-width-relative:page;mso-height-relative:page;" filled="f" stroked="t" coordsize="21600,21600" o:allowoverlap="f" o:gfxdata="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WAAAA&#10;ZHJzL1BLAQIUABQAAAAIAIdO4kAng0mW2AAAAAwBAAAPAAAAAAAAAAEAIAAAADgAAABkcnMvZG93&#10;bnJldi54bWxQSwECFAAUAAAACACHTuJA7q4dUeoBAAC6AwAADgAAAAAAAAABACAAAAA9AQAAZHJz&#10;L2Uyb0RvYy54bWxQSwUGAAAAAAYABgBZAQAAmQUAAAAA&#10;">
                <v:fill on="f" focussize="0,0"/>
                <v:stroke color="#000000" joinstyle="round"/>
                <v:imagedata o:title=""/>
                <o:lock v:ext="edit" aspectratio="f"/>
              </v:line>
            </w:pict>
          </mc:Fallback>
        </mc:AlternateContent>
      </w:r>
      <w:r>
        <w:rPr>
          <w:rFonts w:ascii="黑体" w:hAnsi="黑体" w:eastAsia="黑体"/>
          <w:kern w:val="0"/>
          <w:sz w:val="52"/>
          <w:szCs w:val="20"/>
        </w:rPr>
        <w:drawing>
          <wp:anchor distT="0" distB="0" distL="114300" distR="114300" simplePos="0" relativeHeight="251659264" behindDoc="0" locked="0" layoutInCell="1" allowOverlap="0">
            <wp:simplePos x="0" y="0"/>
            <wp:positionH relativeFrom="page">
              <wp:posOffset>5004435</wp:posOffset>
            </wp:positionH>
            <wp:positionV relativeFrom="page">
              <wp:posOffset>466725</wp:posOffset>
            </wp:positionV>
            <wp:extent cx="1447165" cy="732790"/>
            <wp:effectExtent l="0" t="0" r="635" b="13970"/>
            <wp:wrapNone/>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7"/>
                    <a:stretch>
                      <a:fillRect/>
                    </a:stretch>
                  </pic:blipFill>
                  <pic:spPr>
                    <a:xfrm>
                      <a:off x="0" y="0"/>
                      <a:ext cx="1447165" cy="732790"/>
                    </a:xfrm>
                    <a:prstGeom prst="rect">
                      <a:avLst/>
                    </a:prstGeom>
                    <a:noFill/>
                    <a:ln>
                      <a:noFill/>
                    </a:ln>
                  </pic:spPr>
                </pic:pic>
              </a:graphicData>
            </a:graphic>
          </wp:anchor>
        </w:drawing>
      </w:r>
    </w:p>
    <w:p>
      <w:pPr>
        <w:pStyle w:val="212"/>
        <w:framePr w:w="9639" w:h="6976" w:hRule="exact" w:hSpace="0" w:vSpace="0" w:wrap="around" w:vAnchor="text" w:hAnchor="page" w:y="6408"/>
        <w:jc w:val="center"/>
        <w:rPr>
          <w:rFonts w:hint="eastAsia" w:ascii="黑体" w:hAnsi="黑体" w:eastAsia="黑体"/>
          <w:b w:val="0"/>
          <w:bCs w:val="0"/>
          <w:w w:val="100"/>
        </w:rPr>
      </w:pPr>
    </w:p>
    <w:p>
      <w:pPr>
        <w:pStyle w:val="166"/>
        <w:framePr w:h="6974" w:hRule="exact" w:wrap="around" w:x="1419" w:anchorLock="1"/>
        <w:rPr>
          <w:rFonts w:hint="eastAsia"/>
        </w:rPr>
      </w:pPr>
      <w:r>
        <w:rPr>
          <w:rFonts w:hint="eastAsia"/>
        </w:rPr>
        <w:t>大中型</w:t>
      </w:r>
      <w:r>
        <w:fldChar w:fldCharType="begin">
          <w:ffData>
            <w:name w:val="CSTD_NAME"/>
            <w:enabled/>
            <w:calcOnExit w:val="0"/>
            <w:textInput>
              <w:default w:val="点击此处添加标准名称"/>
            </w:textInput>
          </w:ffData>
        </w:fldChar>
      </w:r>
      <w:bookmarkStart w:id="7" w:name="CSTD_NAME"/>
      <w:r>
        <w:instrText xml:space="preserve"> FORMTEXT </w:instrText>
      </w:r>
      <w:r>
        <w:fldChar w:fldCharType="separate"/>
      </w:r>
      <w:r>
        <w:rPr>
          <w:rFonts w:hint="eastAsia"/>
        </w:rPr>
        <w:t>企业安全生产标准化管理体系要求</w:t>
      </w:r>
      <w:r>
        <w:fldChar w:fldCharType="end"/>
      </w:r>
      <w:bookmarkEnd w:id="7"/>
    </w:p>
    <w:p>
      <w:pPr>
        <w:framePr w:w="9639" w:h="6974" w:hRule="exact" w:wrap="around" w:vAnchor="page" w:hAnchor="page" w:x="1419" w:y="6408" w:anchorLock="1"/>
        <w:ind w:left="-1418"/>
      </w:pPr>
    </w:p>
    <w:p>
      <w:pPr>
        <w:pStyle w:val="171"/>
        <w:framePr w:w="9639" w:h="6974" w:hRule="exact" w:wrap="around" w:vAnchor="page" w:hAnchor="page" w:x="1419" w:y="6408" w:anchorLock="1"/>
        <w:textAlignment w:val="bottom"/>
        <w:rPr>
          <w:rFonts w:eastAsia="黑体"/>
          <w:szCs w:val="28"/>
        </w:rPr>
      </w:pPr>
      <w:r>
        <w:rPr>
          <w:rFonts w:hint="eastAsia" w:eastAsia="黑体"/>
          <w:szCs w:val="28"/>
        </w:rPr>
        <w:t>Requirements of work safety standardization management system for large and medium-sized enterprises</w:t>
      </w:r>
    </w:p>
    <w:p>
      <w:pPr>
        <w:framePr w:w="9639" w:h="6974" w:hRule="exact" w:wrap="around" w:vAnchor="page" w:hAnchor="page" w:x="1419" w:y="6408" w:anchorLock="1"/>
        <w:spacing w:line="760" w:lineRule="exact"/>
        <w:ind w:left="-1418"/>
      </w:pPr>
    </w:p>
    <w:p>
      <w:pPr>
        <w:pStyle w:val="171"/>
        <w:framePr w:w="9639" w:h="6974" w:hRule="exact" w:wrap="around" w:vAnchor="page" w:hAnchor="page" w:x="1419" w:y="6408" w:anchorLock="1"/>
        <w:textAlignment w:val="bottom"/>
        <w:rPr>
          <w:rFonts w:eastAsia="黑体"/>
          <w:szCs w:val="28"/>
        </w:rPr>
      </w:pPr>
      <w:r>
        <w:rPr>
          <w:rFonts w:eastAsia="黑体"/>
          <w:szCs w:val="28"/>
        </w:rPr>
        <w:fldChar w:fldCharType="begin">
          <w:ffData>
            <w:name w:val="IN_STD_CODE"/>
            <w:enabled/>
            <w:calcOnExit w:val="0"/>
            <w:textInput>
              <w:default w:val="(点击此处添加与国际标准一致性程度的标识)"/>
            </w:textInput>
          </w:ffData>
        </w:fldChar>
      </w:r>
      <w:bookmarkStart w:id="8" w:name="IN_STD_CODE"/>
      <w:r>
        <w:rPr>
          <w:rFonts w:eastAsia="黑体"/>
          <w:szCs w:val="28"/>
        </w:rPr>
        <w:instrText xml:space="preserve"> FORMTEXT </w:instrText>
      </w:r>
      <w:r>
        <w:rPr>
          <w:rFonts w:eastAsia="黑体"/>
          <w:szCs w:val="28"/>
        </w:rPr>
        <w:fldChar w:fldCharType="separate"/>
      </w:r>
      <w:r>
        <w:rPr>
          <w:rFonts w:hint="eastAsia" w:eastAsia="黑体"/>
          <w:szCs w:val="28"/>
        </w:rPr>
        <w:t>(征求意见稿)</w:t>
      </w:r>
      <w:r>
        <w:rPr>
          <w:rFonts w:eastAsia="黑体"/>
          <w:szCs w:val="28"/>
        </w:rPr>
        <w:fldChar w:fldCharType="end"/>
      </w:r>
      <w:bookmarkEnd w:id="8"/>
    </w:p>
    <w:p>
      <w:pPr>
        <w:pStyle w:val="171"/>
        <w:framePr w:w="9639" w:h="6974" w:hRule="exact" w:wrap="around" w:vAnchor="page" w:hAnchor="page" w:x="1419" w:y="6408" w:anchorLock="1"/>
        <w:spacing w:before="440" w:after="160"/>
        <w:textAlignment w:val="bottom"/>
        <w:rPr>
          <w:sz w:val="24"/>
          <w:szCs w:val="28"/>
        </w:rPr>
      </w:pPr>
      <w:r>
        <w:rPr>
          <w:sz w:val="24"/>
          <w:szCs w:val="28"/>
        </w:rPr>
        <w:fldChar w:fldCharType="begin">
          <w:ffData>
            <w:name w:val="下拉1"/>
            <w:enabled/>
            <w:calcOnExit w:val="0"/>
            <w:ddList>
              <w:listEntry w:val=" "/>
              <w:listEntry w:val="草案版次选择"/>
              <w:listEntry w:val="（工作组讨论稿）"/>
              <w:listEntry w:val="（征求意见稿）"/>
              <w:listEntry w:val="（送审讨论稿）"/>
              <w:listEntry w:val="（送审稿）"/>
              <w:listEntry w:val="（报批稿）"/>
            </w:ddList>
          </w:ffData>
        </w:fldChar>
      </w:r>
      <w:bookmarkStart w:id="9" w:name="下拉1"/>
      <w:r>
        <w:rPr>
          <w:sz w:val="24"/>
          <w:szCs w:val="28"/>
        </w:rPr>
        <w:instrText xml:space="preserve"> FORMDROPDOWN </w:instrText>
      </w:r>
      <w:r>
        <w:rPr>
          <w:sz w:val="24"/>
          <w:szCs w:val="28"/>
        </w:rPr>
        <w:fldChar w:fldCharType="separate"/>
      </w:r>
      <w:r>
        <w:rPr>
          <w:sz w:val="24"/>
          <w:szCs w:val="28"/>
        </w:rPr>
        <w:fldChar w:fldCharType="end"/>
      </w:r>
      <w:bookmarkEnd w:id="9"/>
    </w:p>
    <w:p>
      <w:pPr>
        <w:pStyle w:val="171"/>
        <w:framePr w:w="9639" w:h="6974" w:hRule="exact" w:wrap="around" w:vAnchor="page" w:hAnchor="page" w:x="1419" w:y="6408" w:anchorLock="1"/>
        <w:spacing w:before="180" w:line="240" w:lineRule="atLeast"/>
        <w:textAlignment w:val="bottom"/>
        <w:rPr>
          <w:sz w:val="21"/>
          <w:szCs w:val="28"/>
        </w:rPr>
      </w:pPr>
      <w:r>
        <w:rPr>
          <w:sz w:val="21"/>
          <w:szCs w:val="28"/>
        </w:rPr>
        <w:fldChar w:fldCharType="begin">
          <w:ffData>
            <w:name w:val="CMPLSH_DATE"/>
            <w:enabled/>
            <w:calcOnExit w:val="0"/>
            <w:textInput/>
          </w:ffData>
        </w:fldChar>
      </w:r>
      <w:bookmarkStart w:id="10" w:name="CMPLSH_DATE"/>
      <w:r>
        <w:rPr>
          <w:sz w:val="21"/>
          <w:szCs w:val="28"/>
        </w:rPr>
        <w:instrText xml:space="preserve"> FORMTEXT </w:instrText>
      </w:r>
      <w:r>
        <w:rPr>
          <w:sz w:val="21"/>
          <w:szCs w:val="28"/>
        </w:rPr>
        <w:fldChar w:fldCharType="separate"/>
      </w:r>
      <w:r>
        <w:rPr>
          <w:sz w:val="21"/>
          <w:szCs w:val="28"/>
        </w:rPr>
        <w:t>     </w:t>
      </w:r>
      <w:r>
        <w:rPr>
          <w:sz w:val="21"/>
          <w:szCs w:val="28"/>
        </w:rPr>
        <w:fldChar w:fldCharType="end"/>
      </w:r>
      <w:bookmarkEnd w:id="10"/>
    </w:p>
    <w:p>
      <w:pPr>
        <w:pStyle w:val="171"/>
        <w:framePr w:w="9639" w:h="6974" w:hRule="exact" w:wrap="around" w:vAnchor="page" w:hAnchor="page" w:x="1419" w:y="6408" w:anchorLock="1"/>
        <w:spacing w:before="720" w:beforeLines="300" w:after="72" w:afterLines="30" w:line="240" w:lineRule="auto"/>
        <w:textAlignment w:val="bottom"/>
        <w:rPr>
          <w:b/>
          <w:sz w:val="21"/>
          <w:szCs w:val="28"/>
        </w:rPr>
      </w:pPr>
      <w:r>
        <w:rPr>
          <w:b/>
          <w:sz w:val="21"/>
          <w:szCs w:val="28"/>
        </w:rPr>
        <w:fldChar w:fldCharType="begin">
          <w:ffData>
            <w:name w:val="下拉2"/>
            <w:enabled/>
            <w:calcOnExit w:val="0"/>
            <w:ddList>
              <w:listEntry w:val=" "/>
              <w:listEntry w:val="在提交反馈意见时，请将您知道的相关专利连同支持性文件一并附上。"/>
            </w:ddList>
          </w:ffData>
        </w:fldChar>
      </w:r>
      <w:bookmarkStart w:id="11" w:name="下拉2"/>
      <w:r>
        <w:rPr>
          <w:b/>
          <w:sz w:val="21"/>
          <w:szCs w:val="28"/>
        </w:rPr>
        <w:instrText xml:space="preserve"> FORMDROPDOWN </w:instrText>
      </w:r>
      <w:r>
        <w:rPr>
          <w:b/>
          <w:sz w:val="21"/>
          <w:szCs w:val="28"/>
        </w:rPr>
        <w:fldChar w:fldCharType="separate"/>
      </w:r>
      <w:r>
        <w:rPr>
          <w:b/>
          <w:sz w:val="21"/>
          <w:szCs w:val="28"/>
        </w:rPr>
        <w:fldChar w:fldCharType="end"/>
      </w:r>
      <w:bookmarkEnd w:id="11"/>
    </w:p>
    <w:p>
      <w:pPr>
        <w:pStyle w:val="176"/>
        <w:framePr w:wrap="around" w:y="14176"/>
      </w:pPr>
      <w:r>
        <w:rPr>
          <w:rFonts w:ascii="黑体"/>
        </w:rPr>
        <w:fldChar w:fldCharType="begin">
          <w:ffData>
            <w:name w:val="PLSH_DATE_Y"/>
            <w:enabled/>
            <w:calcOnExit w:val="0"/>
            <w:textInput>
              <w:default w:val="XXXX"/>
              <w:maxLength w:val="4"/>
            </w:textInput>
          </w:ffData>
        </w:fldChar>
      </w:r>
      <w:bookmarkStart w:id="12" w:name="PLSH_DATE_Y"/>
      <w:r>
        <w:rPr>
          <w:rFonts w:ascii="黑体"/>
        </w:rPr>
        <w:instrText xml:space="preserve"> FORMTEXT </w:instrText>
      </w:r>
      <w:r>
        <w:rPr>
          <w:rFonts w:ascii="黑体"/>
        </w:rPr>
        <w:fldChar w:fldCharType="separate"/>
      </w:r>
      <w:r>
        <w:rPr>
          <w:rFonts w:ascii="黑体"/>
        </w:rPr>
        <w:t>    </w:t>
      </w:r>
      <w:r>
        <w:rPr>
          <w:rFonts w:ascii="黑体"/>
        </w:rPr>
        <w:fldChar w:fldCharType="end"/>
      </w:r>
      <w:bookmarkEnd w:id="12"/>
      <w:r>
        <w:t xml:space="preserve"> </w:t>
      </w:r>
      <w:r>
        <w:rPr>
          <w:rFonts w:ascii="黑体"/>
        </w:rPr>
        <w:t>-</w:t>
      </w:r>
      <w:r>
        <w:t xml:space="preserve"> </w:t>
      </w:r>
      <w:r>
        <w:rPr>
          <w:rFonts w:ascii="黑体"/>
        </w:rPr>
        <w:fldChar w:fldCharType="begin">
          <w:ffData>
            <w:name w:val="PLSH_DATE_M"/>
            <w:enabled/>
            <w:calcOnExit w:val="0"/>
            <w:textInput>
              <w:default w:val="XX"/>
              <w:maxLength w:val="2"/>
            </w:textInput>
          </w:ffData>
        </w:fldChar>
      </w:r>
      <w:bookmarkStart w:id="13" w:name="PLSH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3"/>
      <w:r>
        <w:t xml:space="preserve"> </w:t>
      </w:r>
      <w:r>
        <w:rPr>
          <w:rFonts w:ascii="黑体"/>
        </w:rPr>
        <w:t>-</w:t>
      </w:r>
      <w:r>
        <w:t xml:space="preserve"> </w:t>
      </w:r>
      <w:r>
        <w:rPr>
          <w:rFonts w:ascii="黑体"/>
        </w:rPr>
        <w:fldChar w:fldCharType="begin">
          <w:ffData>
            <w:name w:val="PLSH_DATE_D"/>
            <w:enabled/>
            <w:calcOnExit w:val="0"/>
            <w:textInput>
              <w:default w:val="XX"/>
              <w:maxLength w:val="2"/>
            </w:textInput>
          </w:ffData>
        </w:fldChar>
      </w:r>
      <w:bookmarkStart w:id="14" w:name="PLSH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4"/>
      <w:r>
        <w:rPr>
          <w:rFonts w:hint="eastAsia"/>
        </w:rPr>
        <w:t>发布</w:t>
      </w:r>
    </w:p>
    <w:p>
      <w:pPr>
        <w:pStyle w:val="133"/>
        <w:framePr w:wrap="around" w:y="14176"/>
      </w:pPr>
      <w:r>
        <w:rPr>
          <w:rFonts w:ascii="黑体"/>
        </w:rPr>
        <w:fldChar w:fldCharType="begin">
          <w:ffData>
            <w:name w:val="CROT_DATE_Y"/>
            <w:enabled/>
            <w:calcOnExit w:val="0"/>
            <w:textInput>
              <w:default w:val="XXXX"/>
              <w:maxLength w:val="4"/>
            </w:textInput>
          </w:ffData>
        </w:fldChar>
      </w:r>
      <w:bookmarkStart w:id="15" w:name="CROT_DATE_Y"/>
      <w:r>
        <w:rPr>
          <w:rFonts w:ascii="黑体"/>
        </w:rPr>
        <w:instrText xml:space="preserve"> FORMTEXT </w:instrText>
      </w:r>
      <w:r>
        <w:rPr>
          <w:rFonts w:ascii="黑体"/>
        </w:rPr>
        <w:fldChar w:fldCharType="separate"/>
      </w:r>
      <w:r>
        <w:rPr>
          <w:rFonts w:ascii="黑体"/>
        </w:rPr>
        <w:t>XXXX</w:t>
      </w:r>
      <w:r>
        <w:rPr>
          <w:rFonts w:ascii="黑体"/>
        </w:rPr>
        <w:fldChar w:fldCharType="end"/>
      </w:r>
      <w:bookmarkEnd w:id="15"/>
      <w:r>
        <w:t xml:space="preserve"> </w:t>
      </w:r>
      <w:r>
        <w:rPr>
          <w:rFonts w:ascii="黑体"/>
        </w:rPr>
        <w:t>-</w:t>
      </w:r>
      <w:r>
        <w:t xml:space="preserve"> </w:t>
      </w:r>
      <w:r>
        <w:rPr>
          <w:rFonts w:ascii="黑体"/>
        </w:rPr>
        <w:fldChar w:fldCharType="begin">
          <w:ffData>
            <w:name w:val="CROT_DATE_M"/>
            <w:enabled/>
            <w:calcOnExit w:val="0"/>
            <w:textInput>
              <w:default w:val="XX"/>
              <w:maxLength w:val="2"/>
            </w:textInput>
          </w:ffData>
        </w:fldChar>
      </w:r>
      <w:bookmarkStart w:id="16" w:name="CROT_DATE_M"/>
      <w:r>
        <w:rPr>
          <w:rFonts w:ascii="黑体"/>
        </w:rPr>
        <w:instrText xml:space="preserve"> FORMTEXT </w:instrText>
      </w:r>
      <w:r>
        <w:rPr>
          <w:rFonts w:ascii="黑体"/>
        </w:rPr>
        <w:fldChar w:fldCharType="separate"/>
      </w:r>
      <w:r>
        <w:rPr>
          <w:rFonts w:ascii="黑体"/>
        </w:rPr>
        <w:t>XX</w:t>
      </w:r>
      <w:r>
        <w:rPr>
          <w:rFonts w:ascii="黑体"/>
        </w:rPr>
        <w:fldChar w:fldCharType="end"/>
      </w:r>
      <w:bookmarkEnd w:id="16"/>
      <w:r>
        <w:t xml:space="preserve"> </w:t>
      </w:r>
      <w:r>
        <w:rPr>
          <w:rFonts w:ascii="黑体"/>
        </w:rPr>
        <w:t>-</w:t>
      </w:r>
      <w:r>
        <w:t xml:space="preserve"> </w:t>
      </w:r>
      <w:r>
        <w:rPr>
          <w:rFonts w:ascii="黑体"/>
        </w:rPr>
        <w:fldChar w:fldCharType="begin">
          <w:ffData>
            <w:name w:val="CROT_DATE_D"/>
            <w:enabled/>
            <w:calcOnExit w:val="0"/>
            <w:textInput>
              <w:default w:val="XX"/>
              <w:maxLength w:val="2"/>
            </w:textInput>
          </w:ffData>
        </w:fldChar>
      </w:r>
      <w:bookmarkStart w:id="17" w:name="CROT_DATE_D"/>
      <w:r>
        <w:rPr>
          <w:rFonts w:ascii="黑体"/>
        </w:rPr>
        <w:instrText xml:space="preserve"> FORMTEXT </w:instrText>
      </w:r>
      <w:r>
        <w:rPr>
          <w:rFonts w:ascii="黑体"/>
        </w:rPr>
        <w:fldChar w:fldCharType="separate"/>
      </w:r>
      <w:r>
        <w:rPr>
          <w:rFonts w:ascii="黑体"/>
        </w:rPr>
        <w:t>XX</w:t>
      </w:r>
      <w:r>
        <w:rPr>
          <w:rFonts w:ascii="黑体"/>
        </w:rPr>
        <w:fldChar w:fldCharType="end"/>
      </w:r>
      <w:bookmarkEnd w:id="17"/>
      <w:r>
        <w:rPr>
          <w:rFonts w:hint="eastAsia"/>
        </w:rPr>
        <w:t>实施</w:t>
      </w:r>
    </w:p>
    <w:p>
      <w:pPr>
        <w:rPr>
          <w:rFonts w:hint="eastAsia" w:ascii="宋体" w:hAnsi="宋体"/>
          <w:sz w:val="28"/>
          <w:szCs w:val="28"/>
        </w:rPr>
        <w:sectPr>
          <w:headerReference r:id="rId6" w:type="first"/>
          <w:footerReference r:id="rId8" w:type="first"/>
          <w:headerReference r:id="rId5" w:type="default"/>
          <w:footerReference r:id="rId7" w:type="even"/>
          <w:type w:val="continuous"/>
          <w:pgSz w:w="11906" w:h="16838"/>
          <w:pgMar w:top="-338" w:right="1134" w:bottom="1021" w:left="1134" w:header="0" w:footer="0" w:gutter="284"/>
          <w:cols w:space="720" w:num="1"/>
          <w:titlePg/>
          <w:docGrid w:linePitch="312" w:charSpace="0"/>
        </w:sectPr>
      </w:pPr>
      <w:r>
        <w:rPr>
          <w:rFonts w:hint="eastAsia" w:ascii="宋体" w:hAnsi="宋体"/>
          <w:sz w:val="28"/>
          <w:szCs w:val="28"/>
        </w:rPr>
        <w:drawing>
          <wp:anchor distT="0" distB="0" distL="114300" distR="114300" simplePos="0" relativeHeight="251662336" behindDoc="0" locked="0" layoutInCell="1" allowOverlap="1">
            <wp:simplePos x="0" y="0"/>
            <wp:positionH relativeFrom="column">
              <wp:posOffset>1610360</wp:posOffset>
            </wp:positionH>
            <wp:positionV relativeFrom="paragraph">
              <wp:posOffset>8281035</wp:posOffset>
            </wp:positionV>
            <wp:extent cx="2868930" cy="545465"/>
            <wp:effectExtent l="0" t="0" r="11430" b="3175"/>
            <wp:wrapNone/>
            <wp:docPr id="2"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4"/>
                    <pic:cNvPicPr>
                      <a:picLocks noChangeAspect="1"/>
                    </pic:cNvPicPr>
                  </pic:nvPicPr>
                  <pic:blipFill>
                    <a:blip r:embed="rId18"/>
                    <a:stretch>
                      <a:fillRect/>
                    </a:stretch>
                  </pic:blipFill>
                  <pic:spPr>
                    <a:xfrm>
                      <a:off x="0" y="0"/>
                      <a:ext cx="2868930" cy="545465"/>
                    </a:xfrm>
                    <a:prstGeom prst="rect">
                      <a:avLst/>
                    </a:prstGeom>
                    <a:noFill/>
                    <a:ln>
                      <a:noFill/>
                    </a:ln>
                  </pic:spPr>
                </pic:pic>
              </a:graphicData>
            </a:graphic>
          </wp:anchor>
        </w:drawing>
      </w:r>
      <w:r>
        <w:rPr>
          <w:rFonts w:hint="eastAsia" w:ascii="宋体" w:hAnsi="宋体"/>
          <w:sz w:val="28"/>
          <w:szCs w:val="28"/>
        </w:rPr>
        <mc:AlternateContent>
          <mc:Choice Requires="wps">
            <w:drawing>
              <wp:anchor distT="0" distB="0" distL="114300" distR="114300" simplePos="0" relativeHeight="251661312" behindDoc="0" locked="1" layoutInCell="1" allowOverlap="1">
                <wp:simplePos x="0" y="0"/>
                <wp:positionH relativeFrom="page">
                  <wp:posOffset>899795</wp:posOffset>
                </wp:positionH>
                <wp:positionV relativeFrom="page">
                  <wp:posOffset>9253220</wp:posOffset>
                </wp:positionV>
                <wp:extent cx="6120130" cy="0"/>
                <wp:effectExtent l="0" t="4445" r="0" b="508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70.85pt;margin-top:728.6pt;height:0pt;width:481.9pt;mso-position-horizontal-relative:page;mso-position-vertical-relative:page;z-index:251661312;mso-width-relative:page;mso-height-relative:page;" filled="f" stroked="t" coordsize="21600,21600" o:gfxdata="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WAAAAZHJz&#10;L1BLAQIUABQAAAAIAIdO4kCrMxz71wAAAA4BAAAPAAAAAAAAAAEAIAAAADgAAABkcnMvZG93bnJl&#10;di54bWxQSwECFAAUAAAACACHTuJAd2JouegBAAC4AwAADgAAAAAAAAABACAAAAA8AQAAZHJzL2Uy&#10;b0RvYy54bWxQSwUGAAAAAAYABgBZAQAAlgUAAAAA&#10;">
                <v:fill on="f" focussize="0,0"/>
                <v:stroke color="#000000" joinstyle="round"/>
                <v:imagedata o:title=""/>
                <o:lock v:ext="edit" aspectratio="f"/>
                <w10:anchorlock/>
              </v:line>
            </w:pict>
          </mc:Fallback>
        </mc:AlternateContent>
      </w:r>
    </w:p>
    <w:p>
      <w:pPr>
        <w:pStyle w:val="181"/>
        <w:spacing w:before="560" w:after="474"/>
        <w:rPr>
          <w:rFonts w:hint="eastAsia"/>
        </w:rPr>
      </w:pPr>
      <w:bookmarkStart w:id="18" w:name="BookMark1"/>
      <w:bookmarkStart w:id="19" w:name="_Toc186118199"/>
      <w:bookmarkStart w:id="20" w:name="_Toc572"/>
      <w:bookmarkStart w:id="21" w:name="_Toc15535"/>
      <w:bookmarkStart w:id="22" w:name="_Toc22889"/>
      <w:bookmarkStart w:id="23" w:name="_Toc7614"/>
      <w:bookmarkStart w:id="24" w:name="NEW_STAND_NAME"/>
      <w:r>
        <w:rPr>
          <w:rFonts w:hint="eastAsia"/>
          <w:spacing w:val="320"/>
        </w:rPr>
        <w:t>目</w:t>
      </w:r>
      <w:r>
        <w:rPr>
          <w:rFonts w:hint="eastAsia"/>
        </w:rPr>
        <w:t>次</w:t>
      </w:r>
    </w:p>
    <w:p>
      <w:pPr>
        <w:pStyle w:val="20"/>
        <w:tabs>
          <w:tab w:val="right" w:leader="dot" w:pos="9355"/>
        </w:tabs>
        <w:rPr>
          <w:rFonts w:hint="eastAsia" w:hAnsi="宋体" w:cs="宋体"/>
        </w:rPr>
      </w:pPr>
      <w:r>
        <w:rPr>
          <w:rFonts w:hint="eastAsia" w:hAnsi="宋体" w:cs="宋体"/>
        </w:rPr>
        <w:fldChar w:fldCharType="begin"/>
      </w:r>
      <w:r>
        <w:rPr>
          <w:rFonts w:hint="eastAsia" w:hAnsi="宋体" w:cs="宋体"/>
        </w:rPr>
        <w:instrText xml:space="preserve">TOC \o "1-2" \h \u </w:instrText>
      </w:r>
      <w:r>
        <w:rPr>
          <w:rFonts w:hint="eastAsia" w:hAnsi="宋体" w:cs="宋体"/>
        </w:rPr>
        <w:fldChar w:fldCharType="separate"/>
      </w:r>
      <w:r>
        <w:fldChar w:fldCharType="begin"/>
      </w:r>
      <w:r>
        <w:instrText xml:space="preserve"> HYPERLINK \l "_Toc25825" </w:instrText>
      </w:r>
      <w:r>
        <w:fldChar w:fldCharType="separate"/>
      </w:r>
      <w:r>
        <w:rPr>
          <w:rFonts w:hint="eastAsia" w:hAnsi="宋体" w:cs="宋体"/>
        </w:rPr>
        <w:t>前言</w:t>
      </w:r>
      <w:r>
        <w:rPr>
          <w:rFonts w:hint="eastAsia" w:hAnsi="宋体" w:cs="宋体"/>
        </w:rPr>
        <w:tab/>
      </w:r>
      <w:r>
        <w:rPr>
          <w:rFonts w:hint="eastAsia" w:hAnsi="宋体" w:cs="宋体"/>
        </w:rPr>
        <w:fldChar w:fldCharType="begin"/>
      </w:r>
      <w:r>
        <w:rPr>
          <w:rFonts w:hint="eastAsia" w:hAnsi="宋体" w:cs="宋体"/>
        </w:rPr>
        <w:instrText xml:space="preserve"> PAGEREF _Toc25825 \h </w:instrText>
      </w:r>
      <w:r>
        <w:rPr>
          <w:rFonts w:hint="eastAsia" w:hAnsi="宋体" w:cs="宋体"/>
        </w:rPr>
        <w:fldChar w:fldCharType="separate"/>
      </w:r>
      <w:r>
        <w:rPr>
          <w:rFonts w:hint="eastAsia" w:hAnsi="宋体" w:cs="宋体"/>
        </w:rPr>
        <w:t>III</w:t>
      </w:r>
      <w:r>
        <w:rPr>
          <w:rFonts w:hint="eastAsia" w:hAnsi="宋体" w:cs="宋体"/>
        </w:rPr>
        <w:fldChar w:fldCharType="end"/>
      </w:r>
      <w:r>
        <w:rPr>
          <w:rFonts w:hint="eastAsia" w:hAnsi="宋体" w:cs="宋体"/>
        </w:rPr>
        <w:fldChar w:fldCharType="end"/>
      </w:r>
    </w:p>
    <w:p>
      <w:pPr>
        <w:pStyle w:val="20"/>
        <w:tabs>
          <w:tab w:val="right" w:leader="dot" w:pos="9355"/>
        </w:tabs>
        <w:rPr>
          <w:rFonts w:hint="eastAsia" w:hAnsi="宋体" w:cs="宋体"/>
        </w:rPr>
      </w:pPr>
      <w:r>
        <w:fldChar w:fldCharType="begin"/>
      </w:r>
      <w:r>
        <w:instrText xml:space="preserve"> HYPERLINK \l "_Toc12746" </w:instrText>
      </w:r>
      <w:r>
        <w:fldChar w:fldCharType="separate"/>
      </w:r>
      <w:r>
        <w:rPr>
          <w:rFonts w:hint="eastAsia" w:hAnsi="宋体" w:cs="宋体"/>
        </w:rPr>
        <w:t>引言</w:t>
      </w:r>
      <w:r>
        <w:rPr>
          <w:rFonts w:hint="eastAsia" w:hAnsi="宋体" w:cs="宋体"/>
        </w:rPr>
        <w:tab/>
      </w:r>
      <w:r>
        <w:rPr>
          <w:rFonts w:hint="eastAsia" w:hAnsi="宋体" w:cs="宋体"/>
        </w:rPr>
        <w:fldChar w:fldCharType="begin"/>
      </w:r>
      <w:r>
        <w:rPr>
          <w:rFonts w:hint="eastAsia" w:hAnsi="宋体" w:cs="宋体"/>
        </w:rPr>
        <w:instrText xml:space="preserve"> PAGEREF _Toc12746 \h </w:instrText>
      </w:r>
      <w:r>
        <w:rPr>
          <w:rFonts w:hint="eastAsia" w:hAnsi="宋体" w:cs="宋体"/>
        </w:rPr>
        <w:fldChar w:fldCharType="separate"/>
      </w:r>
      <w:r>
        <w:rPr>
          <w:rFonts w:hint="eastAsia" w:hAnsi="宋体" w:cs="宋体"/>
        </w:rPr>
        <w:t>V</w:t>
      </w:r>
      <w:r>
        <w:rPr>
          <w:rFonts w:hint="eastAsia" w:hAnsi="宋体" w:cs="宋体"/>
        </w:rPr>
        <w:fldChar w:fldCharType="end"/>
      </w:r>
      <w:r>
        <w:rPr>
          <w:rFonts w:hint="eastAsia" w:hAnsi="宋体" w:cs="宋体"/>
        </w:rPr>
        <w:fldChar w:fldCharType="end"/>
      </w:r>
    </w:p>
    <w:p>
      <w:pPr>
        <w:pStyle w:val="20"/>
        <w:tabs>
          <w:tab w:val="right" w:leader="dot" w:pos="9355"/>
        </w:tabs>
        <w:rPr>
          <w:rFonts w:hint="eastAsia" w:hAnsi="宋体" w:cs="宋体"/>
        </w:rPr>
      </w:pPr>
      <w:r>
        <w:fldChar w:fldCharType="begin"/>
      </w:r>
      <w:r>
        <w:instrText xml:space="preserve"> HYPERLINK \l "_Toc21527" </w:instrText>
      </w:r>
      <w:r>
        <w:fldChar w:fldCharType="separate"/>
      </w:r>
      <w:r>
        <w:rPr>
          <w:rFonts w:hint="eastAsia" w:hAnsi="宋体" w:cs="宋体"/>
        </w:rPr>
        <w:t>1  范围</w:t>
      </w:r>
      <w:r>
        <w:rPr>
          <w:rFonts w:hint="eastAsia" w:hAnsi="宋体" w:cs="宋体"/>
        </w:rPr>
        <w:tab/>
      </w:r>
      <w:r>
        <w:rPr>
          <w:rFonts w:hint="eastAsia" w:hAnsi="宋体" w:cs="宋体"/>
        </w:rPr>
        <w:fldChar w:fldCharType="begin"/>
      </w:r>
      <w:r>
        <w:rPr>
          <w:rFonts w:hint="eastAsia" w:hAnsi="宋体" w:cs="宋体"/>
        </w:rPr>
        <w:instrText xml:space="preserve"> PAGEREF _Toc21527 \h </w:instrText>
      </w:r>
      <w:r>
        <w:rPr>
          <w:rFonts w:hint="eastAsia" w:hAnsi="宋体" w:cs="宋体"/>
        </w:rPr>
        <w:fldChar w:fldCharType="separate"/>
      </w:r>
      <w:r>
        <w:rPr>
          <w:rFonts w:hint="eastAsia" w:hAnsi="宋体" w:cs="宋体"/>
        </w:rPr>
        <w:t>7</w:t>
      </w:r>
      <w:r>
        <w:rPr>
          <w:rFonts w:hint="eastAsia" w:hAnsi="宋体" w:cs="宋体"/>
        </w:rPr>
        <w:fldChar w:fldCharType="end"/>
      </w:r>
      <w:r>
        <w:rPr>
          <w:rFonts w:hint="eastAsia" w:hAnsi="宋体" w:cs="宋体"/>
        </w:rPr>
        <w:fldChar w:fldCharType="end"/>
      </w:r>
    </w:p>
    <w:p>
      <w:pPr>
        <w:pStyle w:val="20"/>
        <w:tabs>
          <w:tab w:val="right" w:leader="dot" w:pos="9355"/>
        </w:tabs>
        <w:rPr>
          <w:rFonts w:hint="eastAsia" w:hAnsi="宋体" w:cs="宋体"/>
        </w:rPr>
      </w:pPr>
      <w:r>
        <w:fldChar w:fldCharType="begin"/>
      </w:r>
      <w:r>
        <w:instrText xml:space="preserve"> HYPERLINK \l "_Toc19847" </w:instrText>
      </w:r>
      <w:r>
        <w:fldChar w:fldCharType="separate"/>
      </w:r>
      <w:r>
        <w:rPr>
          <w:rFonts w:hint="eastAsia" w:hAnsi="宋体" w:cs="宋体"/>
        </w:rPr>
        <w:t>2  规范性引用文件</w:t>
      </w:r>
      <w:r>
        <w:rPr>
          <w:rFonts w:hint="eastAsia" w:hAnsi="宋体" w:cs="宋体"/>
        </w:rPr>
        <w:tab/>
      </w:r>
      <w:r>
        <w:rPr>
          <w:rFonts w:hint="eastAsia" w:hAnsi="宋体" w:cs="宋体"/>
        </w:rPr>
        <w:fldChar w:fldCharType="begin"/>
      </w:r>
      <w:r>
        <w:rPr>
          <w:rFonts w:hint="eastAsia" w:hAnsi="宋体" w:cs="宋体"/>
        </w:rPr>
        <w:instrText xml:space="preserve"> PAGEREF _Toc19847 \h </w:instrText>
      </w:r>
      <w:r>
        <w:rPr>
          <w:rFonts w:hint="eastAsia" w:hAnsi="宋体" w:cs="宋体"/>
        </w:rPr>
        <w:fldChar w:fldCharType="separate"/>
      </w:r>
      <w:r>
        <w:rPr>
          <w:rFonts w:hint="eastAsia" w:hAnsi="宋体" w:cs="宋体"/>
        </w:rPr>
        <w:t>7</w:t>
      </w:r>
      <w:r>
        <w:rPr>
          <w:rFonts w:hint="eastAsia" w:hAnsi="宋体" w:cs="宋体"/>
        </w:rPr>
        <w:fldChar w:fldCharType="end"/>
      </w:r>
      <w:r>
        <w:rPr>
          <w:rFonts w:hint="eastAsia" w:hAnsi="宋体" w:cs="宋体"/>
        </w:rPr>
        <w:fldChar w:fldCharType="end"/>
      </w:r>
    </w:p>
    <w:p>
      <w:pPr>
        <w:pStyle w:val="20"/>
        <w:tabs>
          <w:tab w:val="right" w:leader="dot" w:pos="9355"/>
        </w:tabs>
        <w:rPr>
          <w:rFonts w:hint="eastAsia" w:hAnsi="宋体" w:cs="宋体"/>
        </w:rPr>
      </w:pPr>
      <w:r>
        <w:fldChar w:fldCharType="begin"/>
      </w:r>
      <w:r>
        <w:instrText xml:space="preserve"> HYPERLINK \l "_Toc3550" </w:instrText>
      </w:r>
      <w:r>
        <w:fldChar w:fldCharType="separate"/>
      </w:r>
      <w:r>
        <w:rPr>
          <w:rFonts w:hint="eastAsia" w:hAnsi="宋体" w:cs="宋体"/>
        </w:rPr>
        <w:t>3  术语和定义</w:t>
      </w:r>
      <w:r>
        <w:rPr>
          <w:rFonts w:hint="eastAsia" w:hAnsi="宋体" w:cs="宋体"/>
        </w:rPr>
        <w:tab/>
      </w:r>
      <w:r>
        <w:rPr>
          <w:rFonts w:hint="eastAsia" w:hAnsi="宋体" w:cs="宋体"/>
        </w:rPr>
        <w:fldChar w:fldCharType="begin"/>
      </w:r>
      <w:r>
        <w:rPr>
          <w:rFonts w:hint="eastAsia" w:hAnsi="宋体" w:cs="宋体"/>
        </w:rPr>
        <w:instrText xml:space="preserve"> PAGEREF _Toc3550 \h </w:instrText>
      </w:r>
      <w:r>
        <w:rPr>
          <w:rFonts w:hint="eastAsia" w:hAnsi="宋体" w:cs="宋体"/>
        </w:rPr>
        <w:fldChar w:fldCharType="separate"/>
      </w:r>
      <w:r>
        <w:rPr>
          <w:rFonts w:hint="eastAsia" w:hAnsi="宋体" w:cs="宋体"/>
        </w:rPr>
        <w:t>7</w:t>
      </w:r>
      <w:r>
        <w:rPr>
          <w:rFonts w:hint="eastAsia" w:hAnsi="宋体" w:cs="宋体"/>
        </w:rPr>
        <w:fldChar w:fldCharType="end"/>
      </w:r>
      <w:r>
        <w:rPr>
          <w:rFonts w:hint="eastAsia" w:hAnsi="宋体" w:cs="宋体"/>
        </w:rPr>
        <w:fldChar w:fldCharType="end"/>
      </w:r>
    </w:p>
    <w:p>
      <w:pPr>
        <w:pStyle w:val="20"/>
        <w:tabs>
          <w:tab w:val="right" w:leader="dot" w:pos="9355"/>
        </w:tabs>
        <w:rPr>
          <w:rFonts w:hint="eastAsia" w:hAnsi="宋体" w:cs="宋体"/>
        </w:rPr>
      </w:pPr>
      <w:r>
        <w:fldChar w:fldCharType="begin"/>
      </w:r>
      <w:r>
        <w:instrText xml:space="preserve"> HYPERLINK \l "_Toc7631" </w:instrText>
      </w:r>
      <w:r>
        <w:fldChar w:fldCharType="separate"/>
      </w:r>
      <w:r>
        <w:rPr>
          <w:rFonts w:hint="eastAsia" w:hAnsi="宋体" w:cs="宋体"/>
        </w:rPr>
        <w:t>4  领导作用</w:t>
      </w:r>
      <w:r>
        <w:rPr>
          <w:rFonts w:hint="eastAsia" w:hAnsi="宋体" w:cs="宋体"/>
        </w:rPr>
        <w:tab/>
      </w:r>
      <w:r>
        <w:rPr>
          <w:rFonts w:hint="eastAsia" w:hAnsi="宋体" w:cs="宋体"/>
        </w:rPr>
        <w:fldChar w:fldCharType="begin"/>
      </w:r>
      <w:r>
        <w:rPr>
          <w:rFonts w:hint="eastAsia" w:hAnsi="宋体" w:cs="宋体"/>
        </w:rPr>
        <w:instrText xml:space="preserve"> PAGEREF _Toc7631 \h </w:instrText>
      </w:r>
      <w:r>
        <w:rPr>
          <w:rFonts w:hint="eastAsia" w:hAnsi="宋体" w:cs="宋体"/>
        </w:rPr>
        <w:fldChar w:fldCharType="separate"/>
      </w:r>
      <w:r>
        <w:rPr>
          <w:rFonts w:hint="eastAsia" w:hAnsi="宋体" w:cs="宋体"/>
        </w:rPr>
        <w:t>8</w:t>
      </w:r>
      <w:r>
        <w:rPr>
          <w:rFonts w:hint="eastAsia" w:hAnsi="宋体" w:cs="宋体"/>
        </w:rPr>
        <w:fldChar w:fldCharType="end"/>
      </w:r>
      <w:r>
        <w:rPr>
          <w:rFonts w:hint="eastAsia" w:hAnsi="宋体" w:cs="宋体"/>
        </w:rPr>
        <w:fldChar w:fldCharType="end"/>
      </w:r>
    </w:p>
    <w:p>
      <w:pPr>
        <w:pStyle w:val="25"/>
        <w:tabs>
          <w:tab w:val="right" w:leader="dot" w:pos="9355"/>
          <w:tab w:val="clear" w:pos="9344"/>
        </w:tabs>
        <w:rPr>
          <w:rFonts w:hint="eastAsia" w:hAnsi="宋体" w:cs="宋体"/>
        </w:rPr>
      </w:pPr>
      <w:r>
        <w:fldChar w:fldCharType="begin"/>
      </w:r>
      <w:r>
        <w:instrText xml:space="preserve"> HYPERLINK \l "_Toc13902" </w:instrText>
      </w:r>
      <w:r>
        <w:fldChar w:fldCharType="separate"/>
      </w:r>
      <w:r>
        <w:rPr>
          <w:rFonts w:hint="eastAsia" w:hAnsi="宋体" w:cs="宋体"/>
          <w:kern w:val="0"/>
        </w:rPr>
        <w:t xml:space="preserve">4.1  </w:t>
      </w:r>
      <w:r>
        <w:rPr>
          <w:rFonts w:hint="eastAsia" w:hAnsi="宋体" w:cs="宋体"/>
        </w:rPr>
        <w:t>安全领导力</w:t>
      </w:r>
      <w:r>
        <w:rPr>
          <w:rFonts w:hint="eastAsia" w:hAnsi="宋体" w:cs="宋体"/>
        </w:rPr>
        <w:tab/>
      </w:r>
      <w:r>
        <w:rPr>
          <w:rFonts w:hint="eastAsia" w:hAnsi="宋体" w:cs="宋体"/>
        </w:rPr>
        <w:fldChar w:fldCharType="begin"/>
      </w:r>
      <w:r>
        <w:rPr>
          <w:rFonts w:hint="eastAsia" w:hAnsi="宋体" w:cs="宋体"/>
        </w:rPr>
        <w:instrText xml:space="preserve"> PAGEREF _Toc13902 \h </w:instrText>
      </w:r>
      <w:r>
        <w:rPr>
          <w:rFonts w:hint="eastAsia" w:hAnsi="宋体" w:cs="宋体"/>
        </w:rPr>
        <w:fldChar w:fldCharType="separate"/>
      </w:r>
      <w:r>
        <w:rPr>
          <w:rFonts w:hint="eastAsia" w:hAnsi="宋体" w:cs="宋体"/>
        </w:rPr>
        <w:t>8</w:t>
      </w:r>
      <w:r>
        <w:rPr>
          <w:rFonts w:hint="eastAsia" w:hAnsi="宋体" w:cs="宋体"/>
        </w:rPr>
        <w:fldChar w:fldCharType="end"/>
      </w:r>
      <w:r>
        <w:rPr>
          <w:rFonts w:hint="eastAsia" w:hAnsi="宋体" w:cs="宋体"/>
        </w:rPr>
        <w:fldChar w:fldCharType="end"/>
      </w:r>
    </w:p>
    <w:p>
      <w:pPr>
        <w:pStyle w:val="25"/>
        <w:tabs>
          <w:tab w:val="right" w:leader="dot" w:pos="9355"/>
          <w:tab w:val="clear" w:pos="9344"/>
        </w:tabs>
        <w:rPr>
          <w:rFonts w:hint="eastAsia" w:hAnsi="宋体" w:cs="宋体"/>
        </w:rPr>
      </w:pPr>
      <w:r>
        <w:fldChar w:fldCharType="begin"/>
      </w:r>
      <w:r>
        <w:instrText xml:space="preserve"> HYPERLINK \l "_Toc8783" </w:instrText>
      </w:r>
      <w:r>
        <w:fldChar w:fldCharType="separate"/>
      </w:r>
      <w:r>
        <w:rPr>
          <w:rFonts w:hint="eastAsia" w:hAnsi="宋体" w:cs="宋体"/>
          <w:kern w:val="0"/>
        </w:rPr>
        <w:t xml:space="preserve">4.2  </w:t>
      </w:r>
      <w:r>
        <w:rPr>
          <w:rFonts w:hint="eastAsia" w:hAnsi="宋体" w:cs="宋体"/>
        </w:rPr>
        <w:t>安全承诺</w:t>
      </w:r>
      <w:r>
        <w:rPr>
          <w:rFonts w:hint="eastAsia" w:hAnsi="宋体" w:cs="宋体"/>
        </w:rPr>
        <w:tab/>
      </w:r>
      <w:r>
        <w:rPr>
          <w:rFonts w:hint="eastAsia" w:hAnsi="宋体" w:cs="宋体"/>
        </w:rPr>
        <w:fldChar w:fldCharType="begin"/>
      </w:r>
      <w:r>
        <w:rPr>
          <w:rFonts w:hint="eastAsia" w:hAnsi="宋体" w:cs="宋体"/>
        </w:rPr>
        <w:instrText xml:space="preserve"> PAGEREF _Toc8783 \h </w:instrText>
      </w:r>
      <w:r>
        <w:rPr>
          <w:rFonts w:hint="eastAsia" w:hAnsi="宋体" w:cs="宋体"/>
        </w:rPr>
        <w:fldChar w:fldCharType="separate"/>
      </w:r>
      <w:r>
        <w:rPr>
          <w:rFonts w:hint="eastAsia" w:hAnsi="宋体" w:cs="宋体"/>
        </w:rPr>
        <w:t>9</w:t>
      </w:r>
      <w:r>
        <w:rPr>
          <w:rFonts w:hint="eastAsia" w:hAnsi="宋体" w:cs="宋体"/>
        </w:rPr>
        <w:fldChar w:fldCharType="end"/>
      </w:r>
      <w:r>
        <w:rPr>
          <w:rFonts w:hint="eastAsia" w:hAnsi="宋体" w:cs="宋体"/>
        </w:rPr>
        <w:fldChar w:fldCharType="end"/>
      </w:r>
    </w:p>
    <w:p>
      <w:pPr>
        <w:pStyle w:val="25"/>
        <w:tabs>
          <w:tab w:val="right" w:leader="dot" w:pos="9355"/>
          <w:tab w:val="clear" w:pos="9344"/>
        </w:tabs>
        <w:rPr>
          <w:rFonts w:hint="eastAsia" w:hAnsi="宋体" w:cs="宋体"/>
        </w:rPr>
      </w:pPr>
      <w:r>
        <w:fldChar w:fldCharType="begin"/>
      </w:r>
      <w:r>
        <w:instrText xml:space="preserve"> HYPERLINK \l "_Toc21122" </w:instrText>
      </w:r>
      <w:r>
        <w:fldChar w:fldCharType="separate"/>
      </w:r>
      <w:r>
        <w:rPr>
          <w:rFonts w:hint="eastAsia" w:hAnsi="宋体" w:cs="宋体"/>
          <w:kern w:val="0"/>
        </w:rPr>
        <w:t xml:space="preserve">4.3  </w:t>
      </w:r>
      <w:r>
        <w:rPr>
          <w:rFonts w:hint="eastAsia" w:hAnsi="宋体" w:cs="宋体"/>
        </w:rPr>
        <w:t>安全决策</w:t>
      </w:r>
      <w:r>
        <w:rPr>
          <w:rFonts w:hint="eastAsia" w:hAnsi="宋体" w:cs="宋体"/>
        </w:rPr>
        <w:tab/>
      </w:r>
      <w:r>
        <w:rPr>
          <w:rFonts w:hint="eastAsia" w:hAnsi="宋体" w:cs="宋体"/>
        </w:rPr>
        <w:fldChar w:fldCharType="begin"/>
      </w:r>
      <w:r>
        <w:rPr>
          <w:rFonts w:hint="eastAsia" w:hAnsi="宋体" w:cs="宋体"/>
        </w:rPr>
        <w:instrText xml:space="preserve"> PAGEREF _Toc21122 \h </w:instrText>
      </w:r>
      <w:r>
        <w:rPr>
          <w:rFonts w:hint="eastAsia" w:hAnsi="宋体" w:cs="宋体"/>
        </w:rPr>
        <w:fldChar w:fldCharType="separate"/>
      </w:r>
      <w:r>
        <w:rPr>
          <w:rFonts w:hint="eastAsia" w:hAnsi="宋体" w:cs="宋体"/>
        </w:rPr>
        <w:t>9</w:t>
      </w:r>
      <w:r>
        <w:rPr>
          <w:rFonts w:hint="eastAsia" w:hAnsi="宋体" w:cs="宋体"/>
        </w:rPr>
        <w:fldChar w:fldCharType="end"/>
      </w:r>
      <w:r>
        <w:rPr>
          <w:rFonts w:hint="eastAsia" w:hAnsi="宋体" w:cs="宋体"/>
        </w:rPr>
        <w:fldChar w:fldCharType="end"/>
      </w:r>
    </w:p>
    <w:p>
      <w:pPr>
        <w:pStyle w:val="25"/>
        <w:tabs>
          <w:tab w:val="right" w:leader="dot" w:pos="9355"/>
          <w:tab w:val="clear" w:pos="9344"/>
        </w:tabs>
        <w:rPr>
          <w:rFonts w:hint="eastAsia" w:hAnsi="宋体" w:cs="宋体"/>
        </w:rPr>
      </w:pPr>
      <w:r>
        <w:fldChar w:fldCharType="begin"/>
      </w:r>
      <w:r>
        <w:instrText xml:space="preserve"> HYPERLINK \l "_Toc26420" </w:instrText>
      </w:r>
      <w:r>
        <w:fldChar w:fldCharType="separate"/>
      </w:r>
      <w:r>
        <w:rPr>
          <w:rFonts w:hint="eastAsia" w:hAnsi="宋体" w:cs="宋体"/>
          <w:kern w:val="0"/>
        </w:rPr>
        <w:t xml:space="preserve">4.4  </w:t>
      </w:r>
      <w:r>
        <w:rPr>
          <w:rFonts w:hint="eastAsia" w:hAnsi="宋体" w:cs="宋体"/>
        </w:rPr>
        <w:t>安全履职评价</w:t>
      </w:r>
      <w:r>
        <w:rPr>
          <w:rFonts w:hint="eastAsia" w:hAnsi="宋体" w:cs="宋体"/>
        </w:rPr>
        <w:tab/>
      </w:r>
      <w:r>
        <w:rPr>
          <w:rFonts w:hint="eastAsia" w:hAnsi="宋体" w:cs="宋体"/>
        </w:rPr>
        <w:fldChar w:fldCharType="begin"/>
      </w:r>
      <w:r>
        <w:rPr>
          <w:rFonts w:hint="eastAsia" w:hAnsi="宋体" w:cs="宋体"/>
        </w:rPr>
        <w:instrText xml:space="preserve"> PAGEREF _Toc26420 \h </w:instrText>
      </w:r>
      <w:r>
        <w:rPr>
          <w:rFonts w:hint="eastAsia" w:hAnsi="宋体" w:cs="宋体"/>
        </w:rPr>
        <w:fldChar w:fldCharType="separate"/>
      </w:r>
      <w:r>
        <w:rPr>
          <w:rFonts w:hint="eastAsia" w:hAnsi="宋体" w:cs="宋体"/>
        </w:rPr>
        <w:t>9</w:t>
      </w:r>
      <w:r>
        <w:rPr>
          <w:rFonts w:hint="eastAsia" w:hAnsi="宋体" w:cs="宋体"/>
        </w:rPr>
        <w:fldChar w:fldCharType="end"/>
      </w:r>
      <w:r>
        <w:rPr>
          <w:rFonts w:hint="eastAsia" w:hAnsi="宋体" w:cs="宋体"/>
        </w:rPr>
        <w:fldChar w:fldCharType="end"/>
      </w:r>
    </w:p>
    <w:p>
      <w:pPr>
        <w:pStyle w:val="20"/>
        <w:tabs>
          <w:tab w:val="right" w:leader="dot" w:pos="9355"/>
        </w:tabs>
        <w:rPr>
          <w:rFonts w:hint="eastAsia" w:hAnsi="宋体" w:cs="宋体"/>
        </w:rPr>
      </w:pPr>
      <w:r>
        <w:fldChar w:fldCharType="begin"/>
      </w:r>
      <w:r>
        <w:instrText xml:space="preserve"> HYPERLINK \l "_Toc29555" </w:instrText>
      </w:r>
      <w:r>
        <w:fldChar w:fldCharType="separate"/>
      </w:r>
      <w:r>
        <w:rPr>
          <w:rFonts w:hint="eastAsia" w:hAnsi="宋体" w:cs="宋体"/>
        </w:rPr>
        <w:t>5  基础保障</w:t>
      </w:r>
      <w:r>
        <w:rPr>
          <w:rFonts w:hint="eastAsia" w:hAnsi="宋体" w:cs="宋体"/>
        </w:rPr>
        <w:tab/>
      </w:r>
      <w:r>
        <w:rPr>
          <w:rFonts w:hint="eastAsia" w:hAnsi="宋体" w:cs="宋体"/>
        </w:rPr>
        <w:fldChar w:fldCharType="begin"/>
      </w:r>
      <w:r>
        <w:rPr>
          <w:rFonts w:hint="eastAsia" w:hAnsi="宋体" w:cs="宋体"/>
        </w:rPr>
        <w:instrText xml:space="preserve"> PAGEREF _Toc29555 \h </w:instrText>
      </w:r>
      <w:r>
        <w:rPr>
          <w:rFonts w:hint="eastAsia" w:hAnsi="宋体" w:cs="宋体"/>
        </w:rPr>
        <w:fldChar w:fldCharType="separate"/>
      </w:r>
      <w:r>
        <w:rPr>
          <w:rFonts w:hint="eastAsia" w:hAnsi="宋体" w:cs="宋体"/>
        </w:rPr>
        <w:t>9</w:t>
      </w:r>
      <w:r>
        <w:rPr>
          <w:rFonts w:hint="eastAsia" w:hAnsi="宋体" w:cs="宋体"/>
        </w:rPr>
        <w:fldChar w:fldCharType="end"/>
      </w:r>
      <w:r>
        <w:rPr>
          <w:rFonts w:hint="eastAsia" w:hAnsi="宋体" w:cs="宋体"/>
        </w:rPr>
        <w:fldChar w:fldCharType="end"/>
      </w:r>
    </w:p>
    <w:p>
      <w:pPr>
        <w:pStyle w:val="25"/>
        <w:tabs>
          <w:tab w:val="right" w:leader="dot" w:pos="9355"/>
          <w:tab w:val="clear" w:pos="9344"/>
        </w:tabs>
        <w:rPr>
          <w:rFonts w:hint="eastAsia" w:hAnsi="宋体" w:cs="宋体"/>
        </w:rPr>
      </w:pPr>
      <w:r>
        <w:fldChar w:fldCharType="begin"/>
      </w:r>
      <w:r>
        <w:instrText xml:space="preserve"> HYPERLINK \l "_Toc292" </w:instrText>
      </w:r>
      <w:r>
        <w:fldChar w:fldCharType="separate"/>
      </w:r>
      <w:r>
        <w:rPr>
          <w:rFonts w:hint="eastAsia" w:hAnsi="宋体" w:cs="宋体"/>
          <w:kern w:val="0"/>
        </w:rPr>
        <w:t xml:space="preserve">5.1  </w:t>
      </w:r>
      <w:r>
        <w:rPr>
          <w:rFonts w:hint="eastAsia" w:hAnsi="宋体" w:cs="宋体"/>
        </w:rPr>
        <w:t>组织保障</w:t>
      </w:r>
      <w:r>
        <w:rPr>
          <w:rFonts w:hint="eastAsia" w:hAnsi="宋体" w:cs="宋体"/>
        </w:rPr>
        <w:tab/>
      </w:r>
      <w:r>
        <w:rPr>
          <w:rFonts w:hint="eastAsia" w:hAnsi="宋体" w:cs="宋体"/>
        </w:rPr>
        <w:fldChar w:fldCharType="begin"/>
      </w:r>
      <w:r>
        <w:rPr>
          <w:rFonts w:hint="eastAsia" w:hAnsi="宋体" w:cs="宋体"/>
        </w:rPr>
        <w:instrText xml:space="preserve"> PAGEREF _Toc292 \h </w:instrText>
      </w:r>
      <w:r>
        <w:rPr>
          <w:rFonts w:hint="eastAsia" w:hAnsi="宋体" w:cs="宋体"/>
        </w:rPr>
        <w:fldChar w:fldCharType="separate"/>
      </w:r>
      <w:r>
        <w:rPr>
          <w:rFonts w:hint="eastAsia" w:hAnsi="宋体" w:cs="宋体"/>
        </w:rPr>
        <w:t>9</w:t>
      </w:r>
      <w:r>
        <w:rPr>
          <w:rFonts w:hint="eastAsia" w:hAnsi="宋体" w:cs="宋体"/>
        </w:rPr>
        <w:fldChar w:fldCharType="end"/>
      </w:r>
      <w:r>
        <w:rPr>
          <w:rFonts w:hint="eastAsia" w:hAnsi="宋体" w:cs="宋体"/>
        </w:rPr>
        <w:fldChar w:fldCharType="end"/>
      </w:r>
    </w:p>
    <w:p>
      <w:pPr>
        <w:pStyle w:val="25"/>
        <w:tabs>
          <w:tab w:val="right" w:leader="dot" w:pos="9355"/>
          <w:tab w:val="clear" w:pos="9344"/>
        </w:tabs>
        <w:rPr>
          <w:rFonts w:hint="eastAsia" w:hAnsi="宋体" w:cs="宋体"/>
        </w:rPr>
      </w:pPr>
      <w:r>
        <w:fldChar w:fldCharType="begin"/>
      </w:r>
      <w:r>
        <w:instrText xml:space="preserve"> HYPERLINK \l "_Toc19573" </w:instrText>
      </w:r>
      <w:r>
        <w:fldChar w:fldCharType="separate"/>
      </w:r>
      <w:r>
        <w:rPr>
          <w:rFonts w:hint="eastAsia" w:hAnsi="宋体" w:cs="宋体"/>
          <w:kern w:val="0"/>
        </w:rPr>
        <w:t xml:space="preserve">5.2  </w:t>
      </w:r>
      <w:r>
        <w:rPr>
          <w:rFonts w:hint="eastAsia" w:hAnsi="宋体" w:cs="宋体"/>
        </w:rPr>
        <w:t>责任保障</w:t>
      </w:r>
      <w:r>
        <w:rPr>
          <w:rFonts w:hint="eastAsia" w:hAnsi="宋体" w:cs="宋体"/>
        </w:rPr>
        <w:tab/>
      </w:r>
      <w:r>
        <w:rPr>
          <w:rFonts w:hint="eastAsia" w:hAnsi="宋体" w:cs="宋体"/>
        </w:rPr>
        <w:fldChar w:fldCharType="begin"/>
      </w:r>
      <w:r>
        <w:rPr>
          <w:rFonts w:hint="eastAsia" w:hAnsi="宋体" w:cs="宋体"/>
        </w:rPr>
        <w:instrText xml:space="preserve"> PAGEREF _Toc19573 \h </w:instrText>
      </w:r>
      <w:r>
        <w:rPr>
          <w:rFonts w:hint="eastAsia" w:hAnsi="宋体" w:cs="宋体"/>
        </w:rPr>
        <w:fldChar w:fldCharType="separate"/>
      </w:r>
      <w:r>
        <w:rPr>
          <w:rFonts w:hint="eastAsia" w:hAnsi="宋体" w:cs="宋体"/>
        </w:rPr>
        <w:t>10</w:t>
      </w:r>
      <w:r>
        <w:rPr>
          <w:rFonts w:hint="eastAsia" w:hAnsi="宋体" w:cs="宋体"/>
        </w:rPr>
        <w:fldChar w:fldCharType="end"/>
      </w:r>
      <w:r>
        <w:rPr>
          <w:rFonts w:hint="eastAsia" w:hAnsi="宋体" w:cs="宋体"/>
        </w:rPr>
        <w:fldChar w:fldCharType="end"/>
      </w:r>
    </w:p>
    <w:p>
      <w:pPr>
        <w:pStyle w:val="25"/>
        <w:tabs>
          <w:tab w:val="right" w:leader="dot" w:pos="9355"/>
          <w:tab w:val="clear" w:pos="9344"/>
        </w:tabs>
        <w:rPr>
          <w:rFonts w:hint="eastAsia" w:hAnsi="宋体" w:cs="宋体"/>
        </w:rPr>
      </w:pPr>
      <w:r>
        <w:fldChar w:fldCharType="begin"/>
      </w:r>
      <w:r>
        <w:instrText xml:space="preserve"> HYPERLINK \l "_Toc10825" </w:instrText>
      </w:r>
      <w:r>
        <w:fldChar w:fldCharType="separate"/>
      </w:r>
      <w:r>
        <w:rPr>
          <w:rFonts w:hint="eastAsia" w:hAnsi="宋体" w:cs="宋体"/>
          <w:kern w:val="0"/>
        </w:rPr>
        <w:t xml:space="preserve">5.3  </w:t>
      </w:r>
      <w:r>
        <w:rPr>
          <w:rFonts w:hint="eastAsia" w:hAnsi="宋体" w:cs="宋体"/>
        </w:rPr>
        <w:t>制度保障</w:t>
      </w:r>
      <w:r>
        <w:rPr>
          <w:rFonts w:hint="eastAsia" w:hAnsi="宋体" w:cs="宋体"/>
        </w:rPr>
        <w:tab/>
      </w:r>
      <w:r>
        <w:rPr>
          <w:rFonts w:hint="eastAsia" w:hAnsi="宋体" w:cs="宋体"/>
        </w:rPr>
        <w:fldChar w:fldCharType="begin"/>
      </w:r>
      <w:r>
        <w:rPr>
          <w:rFonts w:hint="eastAsia" w:hAnsi="宋体" w:cs="宋体"/>
        </w:rPr>
        <w:instrText xml:space="preserve"> PAGEREF _Toc10825 \h </w:instrText>
      </w:r>
      <w:r>
        <w:rPr>
          <w:rFonts w:hint="eastAsia" w:hAnsi="宋体" w:cs="宋体"/>
        </w:rPr>
        <w:fldChar w:fldCharType="separate"/>
      </w:r>
      <w:r>
        <w:rPr>
          <w:rFonts w:hint="eastAsia" w:hAnsi="宋体" w:cs="宋体"/>
        </w:rPr>
        <w:t>10</w:t>
      </w:r>
      <w:r>
        <w:rPr>
          <w:rFonts w:hint="eastAsia" w:hAnsi="宋体" w:cs="宋体"/>
        </w:rPr>
        <w:fldChar w:fldCharType="end"/>
      </w:r>
      <w:r>
        <w:rPr>
          <w:rFonts w:hint="eastAsia" w:hAnsi="宋体" w:cs="宋体"/>
        </w:rPr>
        <w:fldChar w:fldCharType="end"/>
      </w:r>
    </w:p>
    <w:p>
      <w:pPr>
        <w:pStyle w:val="25"/>
        <w:tabs>
          <w:tab w:val="right" w:leader="dot" w:pos="9355"/>
          <w:tab w:val="clear" w:pos="9344"/>
        </w:tabs>
        <w:rPr>
          <w:rFonts w:hint="eastAsia" w:hAnsi="宋体" w:cs="宋体"/>
        </w:rPr>
      </w:pPr>
      <w:r>
        <w:fldChar w:fldCharType="begin"/>
      </w:r>
      <w:r>
        <w:instrText xml:space="preserve"> HYPERLINK \l "_Toc15010" </w:instrText>
      </w:r>
      <w:r>
        <w:fldChar w:fldCharType="separate"/>
      </w:r>
      <w:r>
        <w:rPr>
          <w:rFonts w:hint="eastAsia" w:hAnsi="宋体" w:cs="宋体"/>
          <w:kern w:val="0"/>
        </w:rPr>
        <w:t xml:space="preserve">5.4  </w:t>
      </w:r>
      <w:r>
        <w:rPr>
          <w:rFonts w:hint="eastAsia" w:hAnsi="宋体" w:cs="宋体"/>
        </w:rPr>
        <w:t>资金保障</w:t>
      </w:r>
      <w:r>
        <w:rPr>
          <w:rFonts w:hint="eastAsia" w:hAnsi="宋体" w:cs="宋体"/>
        </w:rPr>
        <w:tab/>
      </w:r>
      <w:r>
        <w:rPr>
          <w:rFonts w:hint="eastAsia" w:hAnsi="宋体" w:cs="宋体"/>
        </w:rPr>
        <w:fldChar w:fldCharType="begin"/>
      </w:r>
      <w:r>
        <w:rPr>
          <w:rFonts w:hint="eastAsia" w:hAnsi="宋体" w:cs="宋体"/>
        </w:rPr>
        <w:instrText xml:space="preserve"> PAGEREF _Toc15010 \h </w:instrText>
      </w:r>
      <w:r>
        <w:rPr>
          <w:rFonts w:hint="eastAsia" w:hAnsi="宋体" w:cs="宋体"/>
        </w:rPr>
        <w:fldChar w:fldCharType="separate"/>
      </w:r>
      <w:r>
        <w:rPr>
          <w:rFonts w:hint="eastAsia" w:hAnsi="宋体" w:cs="宋体"/>
        </w:rPr>
        <w:t>11</w:t>
      </w:r>
      <w:r>
        <w:rPr>
          <w:rFonts w:hint="eastAsia" w:hAnsi="宋体" w:cs="宋体"/>
        </w:rPr>
        <w:fldChar w:fldCharType="end"/>
      </w:r>
      <w:r>
        <w:rPr>
          <w:rFonts w:hint="eastAsia" w:hAnsi="宋体" w:cs="宋体"/>
        </w:rPr>
        <w:fldChar w:fldCharType="end"/>
      </w:r>
    </w:p>
    <w:p>
      <w:pPr>
        <w:pStyle w:val="25"/>
        <w:tabs>
          <w:tab w:val="right" w:leader="dot" w:pos="9355"/>
          <w:tab w:val="clear" w:pos="9344"/>
        </w:tabs>
        <w:rPr>
          <w:rFonts w:hint="eastAsia" w:hAnsi="宋体" w:cs="宋体"/>
        </w:rPr>
      </w:pPr>
      <w:r>
        <w:fldChar w:fldCharType="begin"/>
      </w:r>
      <w:r>
        <w:instrText xml:space="preserve"> HYPERLINK \l "_Toc4228" </w:instrText>
      </w:r>
      <w:r>
        <w:fldChar w:fldCharType="separate"/>
      </w:r>
      <w:r>
        <w:rPr>
          <w:rFonts w:hint="eastAsia" w:hAnsi="宋体" w:cs="宋体"/>
          <w:kern w:val="0"/>
        </w:rPr>
        <w:t xml:space="preserve">5.5  </w:t>
      </w:r>
      <w:r>
        <w:rPr>
          <w:rFonts w:hint="eastAsia" w:hAnsi="宋体" w:cs="宋体"/>
        </w:rPr>
        <w:t>科技保障</w:t>
      </w:r>
      <w:r>
        <w:rPr>
          <w:rFonts w:hint="eastAsia" w:hAnsi="宋体" w:cs="宋体"/>
        </w:rPr>
        <w:tab/>
      </w:r>
      <w:r>
        <w:rPr>
          <w:rFonts w:hint="eastAsia" w:hAnsi="宋体" w:cs="宋体"/>
        </w:rPr>
        <w:fldChar w:fldCharType="begin"/>
      </w:r>
      <w:r>
        <w:rPr>
          <w:rFonts w:hint="eastAsia" w:hAnsi="宋体" w:cs="宋体"/>
        </w:rPr>
        <w:instrText xml:space="preserve"> PAGEREF _Toc4228 \h </w:instrText>
      </w:r>
      <w:r>
        <w:rPr>
          <w:rFonts w:hint="eastAsia" w:hAnsi="宋体" w:cs="宋体"/>
        </w:rPr>
        <w:fldChar w:fldCharType="separate"/>
      </w:r>
      <w:r>
        <w:rPr>
          <w:rFonts w:hint="eastAsia" w:hAnsi="宋体" w:cs="宋体"/>
        </w:rPr>
        <w:t>11</w:t>
      </w:r>
      <w:r>
        <w:rPr>
          <w:rFonts w:hint="eastAsia" w:hAnsi="宋体" w:cs="宋体"/>
        </w:rPr>
        <w:fldChar w:fldCharType="end"/>
      </w:r>
      <w:r>
        <w:rPr>
          <w:rFonts w:hint="eastAsia" w:hAnsi="宋体" w:cs="宋体"/>
        </w:rPr>
        <w:fldChar w:fldCharType="end"/>
      </w:r>
    </w:p>
    <w:p>
      <w:pPr>
        <w:pStyle w:val="25"/>
        <w:tabs>
          <w:tab w:val="right" w:leader="dot" w:pos="9355"/>
          <w:tab w:val="clear" w:pos="9344"/>
        </w:tabs>
        <w:rPr>
          <w:rFonts w:hint="eastAsia" w:hAnsi="宋体" w:cs="宋体"/>
        </w:rPr>
      </w:pPr>
      <w:r>
        <w:fldChar w:fldCharType="begin"/>
      </w:r>
      <w:r>
        <w:instrText xml:space="preserve"> HYPERLINK \l "_Toc11465" </w:instrText>
      </w:r>
      <w:r>
        <w:fldChar w:fldCharType="separate"/>
      </w:r>
      <w:r>
        <w:rPr>
          <w:rFonts w:hint="eastAsia" w:hAnsi="宋体" w:cs="宋体"/>
          <w:kern w:val="0"/>
        </w:rPr>
        <w:t xml:space="preserve">5.6  </w:t>
      </w:r>
      <w:r>
        <w:rPr>
          <w:rFonts w:hint="eastAsia" w:hAnsi="宋体" w:cs="宋体"/>
        </w:rPr>
        <w:t>数智保障</w:t>
      </w:r>
      <w:r>
        <w:rPr>
          <w:rFonts w:hint="eastAsia" w:hAnsi="宋体" w:cs="宋体"/>
        </w:rPr>
        <w:tab/>
      </w:r>
      <w:r>
        <w:rPr>
          <w:rFonts w:hint="eastAsia" w:hAnsi="宋体" w:cs="宋体"/>
        </w:rPr>
        <w:fldChar w:fldCharType="begin"/>
      </w:r>
      <w:r>
        <w:rPr>
          <w:rFonts w:hint="eastAsia" w:hAnsi="宋体" w:cs="宋体"/>
        </w:rPr>
        <w:instrText xml:space="preserve"> PAGEREF _Toc11465 \h </w:instrText>
      </w:r>
      <w:r>
        <w:rPr>
          <w:rFonts w:hint="eastAsia" w:hAnsi="宋体" w:cs="宋体"/>
        </w:rPr>
        <w:fldChar w:fldCharType="separate"/>
      </w:r>
      <w:r>
        <w:rPr>
          <w:rFonts w:hint="eastAsia" w:hAnsi="宋体" w:cs="宋体"/>
        </w:rPr>
        <w:t>11</w:t>
      </w:r>
      <w:r>
        <w:rPr>
          <w:rFonts w:hint="eastAsia" w:hAnsi="宋体" w:cs="宋体"/>
        </w:rPr>
        <w:fldChar w:fldCharType="end"/>
      </w:r>
      <w:r>
        <w:rPr>
          <w:rFonts w:hint="eastAsia" w:hAnsi="宋体" w:cs="宋体"/>
        </w:rPr>
        <w:fldChar w:fldCharType="end"/>
      </w:r>
    </w:p>
    <w:p>
      <w:pPr>
        <w:pStyle w:val="20"/>
        <w:tabs>
          <w:tab w:val="right" w:leader="dot" w:pos="9355"/>
        </w:tabs>
        <w:rPr>
          <w:rFonts w:hint="eastAsia" w:hAnsi="宋体" w:cs="宋体"/>
        </w:rPr>
      </w:pPr>
      <w:r>
        <w:fldChar w:fldCharType="begin"/>
      </w:r>
      <w:r>
        <w:instrText xml:space="preserve"> HYPERLINK \l "_Toc9775" </w:instrText>
      </w:r>
      <w:r>
        <w:fldChar w:fldCharType="separate"/>
      </w:r>
      <w:r>
        <w:rPr>
          <w:rFonts w:hint="eastAsia" w:hAnsi="宋体" w:cs="宋体"/>
        </w:rPr>
        <w:t>6  总体策划</w:t>
      </w:r>
      <w:r>
        <w:rPr>
          <w:rFonts w:hint="eastAsia" w:hAnsi="宋体" w:cs="宋体"/>
        </w:rPr>
        <w:tab/>
      </w:r>
      <w:r>
        <w:rPr>
          <w:rFonts w:hint="eastAsia" w:hAnsi="宋体" w:cs="宋体"/>
        </w:rPr>
        <w:fldChar w:fldCharType="begin"/>
      </w:r>
      <w:r>
        <w:rPr>
          <w:rFonts w:hint="eastAsia" w:hAnsi="宋体" w:cs="宋体"/>
        </w:rPr>
        <w:instrText xml:space="preserve"> PAGEREF _Toc9775 \h </w:instrText>
      </w:r>
      <w:r>
        <w:rPr>
          <w:rFonts w:hint="eastAsia" w:hAnsi="宋体" w:cs="宋体"/>
        </w:rPr>
        <w:fldChar w:fldCharType="separate"/>
      </w:r>
      <w:r>
        <w:rPr>
          <w:rFonts w:hint="eastAsia" w:hAnsi="宋体" w:cs="宋体"/>
        </w:rPr>
        <w:t>11</w:t>
      </w:r>
      <w:r>
        <w:rPr>
          <w:rFonts w:hint="eastAsia" w:hAnsi="宋体" w:cs="宋体"/>
        </w:rPr>
        <w:fldChar w:fldCharType="end"/>
      </w:r>
      <w:r>
        <w:rPr>
          <w:rFonts w:hint="eastAsia" w:hAnsi="宋体" w:cs="宋体"/>
        </w:rPr>
        <w:fldChar w:fldCharType="end"/>
      </w:r>
    </w:p>
    <w:p>
      <w:pPr>
        <w:pStyle w:val="25"/>
        <w:tabs>
          <w:tab w:val="right" w:leader="dot" w:pos="9355"/>
          <w:tab w:val="clear" w:pos="9344"/>
        </w:tabs>
        <w:rPr>
          <w:rFonts w:hint="eastAsia" w:hAnsi="宋体" w:cs="宋体"/>
        </w:rPr>
      </w:pPr>
      <w:r>
        <w:fldChar w:fldCharType="begin"/>
      </w:r>
      <w:r>
        <w:instrText xml:space="preserve"> HYPERLINK \l "_Toc6030" </w:instrText>
      </w:r>
      <w:r>
        <w:fldChar w:fldCharType="separate"/>
      </w:r>
      <w:r>
        <w:rPr>
          <w:rFonts w:hint="eastAsia" w:hAnsi="宋体" w:cs="宋体"/>
          <w:kern w:val="0"/>
        </w:rPr>
        <w:t xml:space="preserve">6.1  </w:t>
      </w:r>
      <w:r>
        <w:rPr>
          <w:rFonts w:hint="eastAsia" w:hAnsi="宋体" w:cs="宋体"/>
        </w:rPr>
        <w:t>理念</w:t>
      </w:r>
      <w:r>
        <w:rPr>
          <w:rFonts w:hint="eastAsia" w:hAnsi="宋体" w:cs="宋体"/>
        </w:rPr>
        <w:tab/>
      </w:r>
      <w:r>
        <w:rPr>
          <w:rFonts w:hint="eastAsia" w:hAnsi="宋体" w:cs="宋体"/>
        </w:rPr>
        <w:fldChar w:fldCharType="begin"/>
      </w:r>
      <w:r>
        <w:rPr>
          <w:rFonts w:hint="eastAsia" w:hAnsi="宋体" w:cs="宋体"/>
        </w:rPr>
        <w:instrText xml:space="preserve"> PAGEREF _Toc6030 \h </w:instrText>
      </w:r>
      <w:r>
        <w:rPr>
          <w:rFonts w:hint="eastAsia" w:hAnsi="宋体" w:cs="宋体"/>
        </w:rPr>
        <w:fldChar w:fldCharType="separate"/>
      </w:r>
      <w:r>
        <w:rPr>
          <w:rFonts w:hint="eastAsia" w:hAnsi="宋体" w:cs="宋体"/>
        </w:rPr>
        <w:t>11</w:t>
      </w:r>
      <w:r>
        <w:rPr>
          <w:rFonts w:hint="eastAsia" w:hAnsi="宋体" w:cs="宋体"/>
        </w:rPr>
        <w:fldChar w:fldCharType="end"/>
      </w:r>
      <w:r>
        <w:rPr>
          <w:rFonts w:hint="eastAsia" w:hAnsi="宋体" w:cs="宋体"/>
        </w:rPr>
        <w:fldChar w:fldCharType="end"/>
      </w:r>
    </w:p>
    <w:p>
      <w:pPr>
        <w:pStyle w:val="25"/>
        <w:tabs>
          <w:tab w:val="right" w:leader="dot" w:pos="9355"/>
          <w:tab w:val="clear" w:pos="9344"/>
        </w:tabs>
        <w:rPr>
          <w:rFonts w:hint="eastAsia" w:hAnsi="宋体" w:cs="宋体"/>
        </w:rPr>
      </w:pPr>
      <w:r>
        <w:fldChar w:fldCharType="begin"/>
      </w:r>
      <w:r>
        <w:instrText xml:space="preserve"> HYPERLINK \l "_Toc4648" </w:instrText>
      </w:r>
      <w:r>
        <w:fldChar w:fldCharType="separate"/>
      </w:r>
      <w:r>
        <w:rPr>
          <w:rFonts w:hint="eastAsia" w:hAnsi="宋体" w:cs="宋体"/>
          <w:kern w:val="0"/>
        </w:rPr>
        <w:t xml:space="preserve">6.2  </w:t>
      </w:r>
      <w:r>
        <w:rPr>
          <w:rFonts w:hint="eastAsia" w:hAnsi="宋体" w:cs="宋体"/>
        </w:rPr>
        <w:t>目标</w:t>
      </w:r>
      <w:r>
        <w:rPr>
          <w:rFonts w:hint="eastAsia" w:hAnsi="宋体" w:cs="宋体"/>
        </w:rPr>
        <w:tab/>
      </w:r>
      <w:r>
        <w:rPr>
          <w:rFonts w:hint="eastAsia" w:hAnsi="宋体" w:cs="宋体"/>
        </w:rPr>
        <w:fldChar w:fldCharType="begin"/>
      </w:r>
      <w:r>
        <w:rPr>
          <w:rFonts w:hint="eastAsia" w:hAnsi="宋体" w:cs="宋体"/>
        </w:rPr>
        <w:instrText xml:space="preserve"> PAGEREF _Toc4648 \h </w:instrText>
      </w:r>
      <w:r>
        <w:rPr>
          <w:rFonts w:hint="eastAsia" w:hAnsi="宋体" w:cs="宋体"/>
        </w:rPr>
        <w:fldChar w:fldCharType="separate"/>
      </w:r>
      <w:r>
        <w:rPr>
          <w:rFonts w:hint="eastAsia" w:hAnsi="宋体" w:cs="宋体"/>
        </w:rPr>
        <w:t>11</w:t>
      </w:r>
      <w:r>
        <w:rPr>
          <w:rFonts w:hint="eastAsia" w:hAnsi="宋体" w:cs="宋体"/>
        </w:rPr>
        <w:fldChar w:fldCharType="end"/>
      </w:r>
      <w:r>
        <w:rPr>
          <w:rFonts w:hint="eastAsia" w:hAnsi="宋体" w:cs="宋体"/>
        </w:rPr>
        <w:fldChar w:fldCharType="end"/>
      </w:r>
    </w:p>
    <w:p>
      <w:pPr>
        <w:pStyle w:val="25"/>
        <w:tabs>
          <w:tab w:val="right" w:leader="dot" w:pos="9355"/>
          <w:tab w:val="clear" w:pos="9344"/>
        </w:tabs>
        <w:rPr>
          <w:rFonts w:hint="eastAsia" w:hAnsi="宋体" w:cs="宋体"/>
        </w:rPr>
      </w:pPr>
      <w:r>
        <w:fldChar w:fldCharType="begin"/>
      </w:r>
      <w:r>
        <w:instrText xml:space="preserve"> HYPERLINK \l "_Toc16359" </w:instrText>
      </w:r>
      <w:r>
        <w:fldChar w:fldCharType="separate"/>
      </w:r>
      <w:r>
        <w:rPr>
          <w:rFonts w:hint="eastAsia" w:hAnsi="宋体" w:cs="宋体"/>
          <w:kern w:val="0"/>
        </w:rPr>
        <w:t xml:space="preserve">6.3  </w:t>
      </w:r>
      <w:r>
        <w:rPr>
          <w:rFonts w:hint="eastAsia" w:hAnsi="宋体" w:cs="宋体"/>
        </w:rPr>
        <w:t>合规管理</w:t>
      </w:r>
      <w:r>
        <w:rPr>
          <w:rFonts w:hint="eastAsia" w:hAnsi="宋体" w:cs="宋体"/>
        </w:rPr>
        <w:tab/>
      </w:r>
      <w:r>
        <w:rPr>
          <w:rFonts w:hint="eastAsia" w:hAnsi="宋体" w:cs="宋体"/>
        </w:rPr>
        <w:fldChar w:fldCharType="begin"/>
      </w:r>
      <w:r>
        <w:rPr>
          <w:rFonts w:hint="eastAsia" w:hAnsi="宋体" w:cs="宋体"/>
        </w:rPr>
        <w:instrText xml:space="preserve"> PAGEREF _Toc16359 \h </w:instrText>
      </w:r>
      <w:r>
        <w:rPr>
          <w:rFonts w:hint="eastAsia" w:hAnsi="宋体" w:cs="宋体"/>
        </w:rPr>
        <w:fldChar w:fldCharType="separate"/>
      </w:r>
      <w:r>
        <w:rPr>
          <w:rFonts w:hint="eastAsia" w:hAnsi="宋体" w:cs="宋体"/>
        </w:rPr>
        <w:t>12</w:t>
      </w:r>
      <w:r>
        <w:rPr>
          <w:rFonts w:hint="eastAsia" w:hAnsi="宋体" w:cs="宋体"/>
        </w:rPr>
        <w:fldChar w:fldCharType="end"/>
      </w:r>
      <w:r>
        <w:rPr>
          <w:rFonts w:hint="eastAsia" w:hAnsi="宋体" w:cs="宋体"/>
        </w:rPr>
        <w:fldChar w:fldCharType="end"/>
      </w:r>
    </w:p>
    <w:p>
      <w:pPr>
        <w:pStyle w:val="25"/>
        <w:tabs>
          <w:tab w:val="right" w:leader="dot" w:pos="9355"/>
          <w:tab w:val="clear" w:pos="9344"/>
        </w:tabs>
        <w:rPr>
          <w:rFonts w:hint="eastAsia" w:hAnsi="宋体" w:cs="宋体"/>
        </w:rPr>
      </w:pPr>
      <w:r>
        <w:fldChar w:fldCharType="begin"/>
      </w:r>
      <w:r>
        <w:instrText xml:space="preserve"> HYPERLINK \l "_Toc246" </w:instrText>
      </w:r>
      <w:r>
        <w:fldChar w:fldCharType="separate"/>
      </w:r>
      <w:r>
        <w:rPr>
          <w:rFonts w:hint="eastAsia" w:hAnsi="宋体" w:cs="宋体"/>
          <w:kern w:val="0"/>
        </w:rPr>
        <w:t xml:space="preserve">6.4  </w:t>
      </w:r>
      <w:r>
        <w:rPr>
          <w:rFonts w:hint="eastAsia" w:hAnsi="宋体" w:cs="宋体"/>
        </w:rPr>
        <w:t>全员参与</w:t>
      </w:r>
      <w:r>
        <w:rPr>
          <w:rFonts w:hint="eastAsia" w:hAnsi="宋体" w:cs="宋体"/>
        </w:rPr>
        <w:tab/>
      </w:r>
      <w:r>
        <w:rPr>
          <w:rFonts w:hint="eastAsia" w:hAnsi="宋体" w:cs="宋体"/>
        </w:rPr>
        <w:fldChar w:fldCharType="begin"/>
      </w:r>
      <w:r>
        <w:rPr>
          <w:rFonts w:hint="eastAsia" w:hAnsi="宋体" w:cs="宋体"/>
        </w:rPr>
        <w:instrText xml:space="preserve"> PAGEREF _Toc246 \h </w:instrText>
      </w:r>
      <w:r>
        <w:rPr>
          <w:rFonts w:hint="eastAsia" w:hAnsi="宋体" w:cs="宋体"/>
        </w:rPr>
        <w:fldChar w:fldCharType="separate"/>
      </w:r>
      <w:r>
        <w:rPr>
          <w:rFonts w:hint="eastAsia" w:hAnsi="宋体" w:cs="宋体"/>
        </w:rPr>
        <w:t>12</w:t>
      </w:r>
      <w:r>
        <w:rPr>
          <w:rFonts w:hint="eastAsia" w:hAnsi="宋体" w:cs="宋体"/>
        </w:rPr>
        <w:fldChar w:fldCharType="end"/>
      </w:r>
      <w:r>
        <w:rPr>
          <w:rFonts w:hint="eastAsia" w:hAnsi="宋体" w:cs="宋体"/>
        </w:rPr>
        <w:fldChar w:fldCharType="end"/>
      </w:r>
    </w:p>
    <w:p>
      <w:pPr>
        <w:pStyle w:val="25"/>
        <w:tabs>
          <w:tab w:val="right" w:leader="dot" w:pos="9355"/>
          <w:tab w:val="clear" w:pos="9344"/>
        </w:tabs>
        <w:rPr>
          <w:rFonts w:hint="eastAsia" w:hAnsi="宋体" w:cs="宋体"/>
        </w:rPr>
      </w:pPr>
      <w:r>
        <w:fldChar w:fldCharType="begin"/>
      </w:r>
      <w:r>
        <w:instrText xml:space="preserve"> HYPERLINK \l "_Toc13846" </w:instrText>
      </w:r>
      <w:r>
        <w:fldChar w:fldCharType="separate"/>
      </w:r>
      <w:r>
        <w:rPr>
          <w:rFonts w:hint="eastAsia" w:hAnsi="宋体" w:cs="宋体"/>
          <w:kern w:val="0"/>
        </w:rPr>
        <w:t xml:space="preserve">6.5  </w:t>
      </w:r>
      <w:r>
        <w:rPr>
          <w:rFonts w:hint="eastAsia" w:hAnsi="宋体" w:cs="宋体"/>
        </w:rPr>
        <w:t>信息沟通</w:t>
      </w:r>
      <w:r>
        <w:rPr>
          <w:rFonts w:hint="eastAsia" w:hAnsi="宋体" w:cs="宋体"/>
        </w:rPr>
        <w:tab/>
      </w:r>
      <w:r>
        <w:rPr>
          <w:rFonts w:hint="eastAsia" w:hAnsi="宋体" w:cs="宋体"/>
        </w:rPr>
        <w:fldChar w:fldCharType="begin"/>
      </w:r>
      <w:r>
        <w:rPr>
          <w:rFonts w:hint="eastAsia" w:hAnsi="宋体" w:cs="宋体"/>
        </w:rPr>
        <w:instrText xml:space="preserve"> PAGEREF _Toc13846 \h </w:instrText>
      </w:r>
      <w:r>
        <w:rPr>
          <w:rFonts w:hint="eastAsia" w:hAnsi="宋体" w:cs="宋体"/>
        </w:rPr>
        <w:fldChar w:fldCharType="separate"/>
      </w:r>
      <w:r>
        <w:rPr>
          <w:rFonts w:hint="eastAsia" w:hAnsi="宋体" w:cs="宋体"/>
        </w:rPr>
        <w:t>12</w:t>
      </w:r>
      <w:r>
        <w:rPr>
          <w:rFonts w:hint="eastAsia" w:hAnsi="宋体" w:cs="宋体"/>
        </w:rPr>
        <w:fldChar w:fldCharType="end"/>
      </w:r>
      <w:r>
        <w:rPr>
          <w:rFonts w:hint="eastAsia" w:hAnsi="宋体" w:cs="宋体"/>
        </w:rPr>
        <w:fldChar w:fldCharType="end"/>
      </w:r>
    </w:p>
    <w:p>
      <w:pPr>
        <w:pStyle w:val="20"/>
        <w:tabs>
          <w:tab w:val="right" w:leader="dot" w:pos="9355"/>
        </w:tabs>
        <w:rPr>
          <w:rFonts w:hint="eastAsia" w:hAnsi="宋体" w:cs="宋体"/>
        </w:rPr>
      </w:pPr>
      <w:r>
        <w:fldChar w:fldCharType="begin"/>
      </w:r>
      <w:r>
        <w:instrText xml:space="preserve"> HYPERLINK \l "_Toc26690" </w:instrText>
      </w:r>
      <w:r>
        <w:fldChar w:fldCharType="separate"/>
      </w:r>
      <w:r>
        <w:rPr>
          <w:rFonts w:hint="eastAsia" w:hAnsi="宋体" w:cs="宋体"/>
        </w:rPr>
        <w:t>7  安全风险分级管控</w:t>
      </w:r>
      <w:r>
        <w:rPr>
          <w:rFonts w:hint="eastAsia" w:hAnsi="宋体" w:cs="宋体"/>
        </w:rPr>
        <w:tab/>
      </w:r>
      <w:r>
        <w:rPr>
          <w:rFonts w:hint="eastAsia" w:hAnsi="宋体" w:cs="宋体"/>
        </w:rPr>
        <w:fldChar w:fldCharType="begin"/>
      </w:r>
      <w:r>
        <w:rPr>
          <w:rFonts w:hint="eastAsia" w:hAnsi="宋体" w:cs="宋体"/>
        </w:rPr>
        <w:instrText xml:space="preserve"> PAGEREF _Toc26690 \h </w:instrText>
      </w:r>
      <w:r>
        <w:rPr>
          <w:rFonts w:hint="eastAsia" w:hAnsi="宋体" w:cs="宋体"/>
        </w:rPr>
        <w:fldChar w:fldCharType="separate"/>
      </w:r>
      <w:r>
        <w:rPr>
          <w:rFonts w:hint="eastAsia" w:hAnsi="宋体" w:cs="宋体"/>
        </w:rPr>
        <w:t>12</w:t>
      </w:r>
      <w:r>
        <w:rPr>
          <w:rFonts w:hint="eastAsia" w:hAnsi="宋体" w:cs="宋体"/>
        </w:rPr>
        <w:fldChar w:fldCharType="end"/>
      </w:r>
      <w:r>
        <w:rPr>
          <w:rFonts w:hint="eastAsia" w:hAnsi="宋体" w:cs="宋体"/>
        </w:rPr>
        <w:fldChar w:fldCharType="end"/>
      </w:r>
    </w:p>
    <w:p>
      <w:pPr>
        <w:pStyle w:val="25"/>
        <w:tabs>
          <w:tab w:val="right" w:leader="dot" w:pos="9355"/>
          <w:tab w:val="clear" w:pos="9344"/>
        </w:tabs>
        <w:rPr>
          <w:rFonts w:hint="eastAsia" w:hAnsi="宋体" w:cs="宋体"/>
        </w:rPr>
      </w:pPr>
      <w:r>
        <w:fldChar w:fldCharType="begin"/>
      </w:r>
      <w:r>
        <w:instrText xml:space="preserve"> HYPERLINK \l "_Toc28105" </w:instrText>
      </w:r>
      <w:r>
        <w:fldChar w:fldCharType="separate"/>
      </w:r>
      <w:r>
        <w:rPr>
          <w:rFonts w:hint="eastAsia" w:hAnsi="宋体" w:cs="宋体"/>
          <w:kern w:val="0"/>
        </w:rPr>
        <w:t xml:space="preserve">7.1  </w:t>
      </w:r>
      <w:r>
        <w:rPr>
          <w:rFonts w:hint="eastAsia" w:hAnsi="宋体" w:cs="宋体"/>
        </w:rPr>
        <w:t>一般要求</w:t>
      </w:r>
      <w:r>
        <w:rPr>
          <w:rFonts w:hint="eastAsia" w:hAnsi="宋体" w:cs="宋体"/>
        </w:rPr>
        <w:tab/>
      </w:r>
      <w:r>
        <w:rPr>
          <w:rFonts w:hint="eastAsia" w:hAnsi="宋体" w:cs="宋体"/>
        </w:rPr>
        <w:fldChar w:fldCharType="begin"/>
      </w:r>
      <w:r>
        <w:rPr>
          <w:rFonts w:hint="eastAsia" w:hAnsi="宋体" w:cs="宋体"/>
        </w:rPr>
        <w:instrText xml:space="preserve"> PAGEREF _Toc28105 \h </w:instrText>
      </w:r>
      <w:r>
        <w:rPr>
          <w:rFonts w:hint="eastAsia" w:hAnsi="宋体" w:cs="宋体"/>
        </w:rPr>
        <w:fldChar w:fldCharType="separate"/>
      </w:r>
      <w:r>
        <w:rPr>
          <w:rFonts w:hint="eastAsia" w:hAnsi="宋体" w:cs="宋体"/>
        </w:rPr>
        <w:t>12</w:t>
      </w:r>
      <w:r>
        <w:rPr>
          <w:rFonts w:hint="eastAsia" w:hAnsi="宋体" w:cs="宋体"/>
        </w:rPr>
        <w:fldChar w:fldCharType="end"/>
      </w:r>
      <w:r>
        <w:rPr>
          <w:rFonts w:hint="eastAsia" w:hAnsi="宋体" w:cs="宋体"/>
        </w:rPr>
        <w:fldChar w:fldCharType="end"/>
      </w:r>
    </w:p>
    <w:p>
      <w:pPr>
        <w:pStyle w:val="25"/>
        <w:tabs>
          <w:tab w:val="right" w:leader="dot" w:pos="9355"/>
          <w:tab w:val="clear" w:pos="9344"/>
        </w:tabs>
        <w:rPr>
          <w:rFonts w:hint="eastAsia" w:hAnsi="宋体" w:cs="宋体"/>
        </w:rPr>
      </w:pPr>
      <w:r>
        <w:fldChar w:fldCharType="begin"/>
      </w:r>
      <w:r>
        <w:instrText xml:space="preserve"> HYPERLINK \l "_Toc5890" </w:instrText>
      </w:r>
      <w:r>
        <w:fldChar w:fldCharType="separate"/>
      </w:r>
      <w:r>
        <w:rPr>
          <w:rFonts w:hint="eastAsia" w:hAnsi="宋体" w:cs="宋体"/>
          <w:kern w:val="0"/>
        </w:rPr>
        <w:t xml:space="preserve">7.2  </w:t>
      </w:r>
      <w:r>
        <w:rPr>
          <w:rFonts w:hint="eastAsia" w:hAnsi="宋体" w:cs="宋体"/>
        </w:rPr>
        <w:t>危险源辨识</w:t>
      </w:r>
      <w:r>
        <w:rPr>
          <w:rFonts w:hint="eastAsia" w:hAnsi="宋体" w:cs="宋体"/>
        </w:rPr>
        <w:tab/>
      </w:r>
      <w:r>
        <w:rPr>
          <w:rFonts w:hint="eastAsia" w:hAnsi="宋体" w:cs="宋体"/>
        </w:rPr>
        <w:fldChar w:fldCharType="begin"/>
      </w:r>
      <w:r>
        <w:rPr>
          <w:rFonts w:hint="eastAsia" w:hAnsi="宋体" w:cs="宋体"/>
        </w:rPr>
        <w:instrText xml:space="preserve"> PAGEREF _Toc5890 \h </w:instrText>
      </w:r>
      <w:r>
        <w:rPr>
          <w:rFonts w:hint="eastAsia" w:hAnsi="宋体" w:cs="宋体"/>
        </w:rPr>
        <w:fldChar w:fldCharType="separate"/>
      </w:r>
      <w:r>
        <w:rPr>
          <w:rFonts w:hint="eastAsia" w:hAnsi="宋体" w:cs="宋体"/>
        </w:rPr>
        <w:t>13</w:t>
      </w:r>
      <w:r>
        <w:rPr>
          <w:rFonts w:hint="eastAsia" w:hAnsi="宋体" w:cs="宋体"/>
        </w:rPr>
        <w:fldChar w:fldCharType="end"/>
      </w:r>
      <w:r>
        <w:rPr>
          <w:rFonts w:hint="eastAsia" w:hAnsi="宋体" w:cs="宋体"/>
        </w:rPr>
        <w:fldChar w:fldCharType="end"/>
      </w:r>
    </w:p>
    <w:p>
      <w:pPr>
        <w:pStyle w:val="25"/>
        <w:tabs>
          <w:tab w:val="right" w:leader="dot" w:pos="9355"/>
          <w:tab w:val="clear" w:pos="9344"/>
        </w:tabs>
        <w:rPr>
          <w:rFonts w:hint="eastAsia" w:hAnsi="宋体" w:cs="宋体"/>
        </w:rPr>
      </w:pPr>
      <w:r>
        <w:fldChar w:fldCharType="begin"/>
      </w:r>
      <w:r>
        <w:instrText xml:space="preserve"> HYPERLINK \l "_Toc1049" </w:instrText>
      </w:r>
      <w:r>
        <w:fldChar w:fldCharType="separate"/>
      </w:r>
      <w:r>
        <w:rPr>
          <w:rFonts w:hint="eastAsia" w:hAnsi="宋体" w:cs="宋体"/>
          <w:kern w:val="0"/>
        </w:rPr>
        <w:t xml:space="preserve">7.3  </w:t>
      </w:r>
      <w:r>
        <w:rPr>
          <w:rFonts w:hint="eastAsia" w:hAnsi="宋体" w:cs="宋体"/>
        </w:rPr>
        <w:t>风险评估</w:t>
      </w:r>
      <w:r>
        <w:rPr>
          <w:rFonts w:hint="eastAsia" w:hAnsi="宋体" w:cs="宋体"/>
        </w:rPr>
        <w:tab/>
      </w:r>
      <w:r>
        <w:rPr>
          <w:rFonts w:hint="eastAsia" w:hAnsi="宋体" w:cs="宋体"/>
        </w:rPr>
        <w:fldChar w:fldCharType="begin"/>
      </w:r>
      <w:r>
        <w:rPr>
          <w:rFonts w:hint="eastAsia" w:hAnsi="宋体" w:cs="宋体"/>
        </w:rPr>
        <w:instrText xml:space="preserve"> PAGEREF _Toc1049 \h </w:instrText>
      </w:r>
      <w:r>
        <w:rPr>
          <w:rFonts w:hint="eastAsia" w:hAnsi="宋体" w:cs="宋体"/>
        </w:rPr>
        <w:fldChar w:fldCharType="separate"/>
      </w:r>
      <w:r>
        <w:rPr>
          <w:rFonts w:hint="eastAsia" w:hAnsi="宋体" w:cs="宋体"/>
        </w:rPr>
        <w:t>13</w:t>
      </w:r>
      <w:r>
        <w:rPr>
          <w:rFonts w:hint="eastAsia" w:hAnsi="宋体" w:cs="宋体"/>
        </w:rPr>
        <w:fldChar w:fldCharType="end"/>
      </w:r>
      <w:r>
        <w:rPr>
          <w:rFonts w:hint="eastAsia" w:hAnsi="宋体" w:cs="宋体"/>
        </w:rPr>
        <w:fldChar w:fldCharType="end"/>
      </w:r>
    </w:p>
    <w:p>
      <w:pPr>
        <w:pStyle w:val="25"/>
        <w:tabs>
          <w:tab w:val="right" w:leader="dot" w:pos="9355"/>
          <w:tab w:val="clear" w:pos="9344"/>
        </w:tabs>
        <w:rPr>
          <w:rFonts w:hint="eastAsia" w:hAnsi="宋体" w:cs="宋体"/>
        </w:rPr>
      </w:pPr>
      <w:r>
        <w:fldChar w:fldCharType="begin"/>
      </w:r>
      <w:r>
        <w:instrText xml:space="preserve"> HYPERLINK \l "_Toc3" </w:instrText>
      </w:r>
      <w:r>
        <w:fldChar w:fldCharType="separate"/>
      </w:r>
      <w:r>
        <w:rPr>
          <w:rFonts w:hint="eastAsia" w:hAnsi="宋体" w:cs="宋体"/>
          <w:kern w:val="0"/>
        </w:rPr>
        <w:t xml:space="preserve">7.4  </w:t>
      </w:r>
      <w:r>
        <w:rPr>
          <w:rFonts w:hint="eastAsia" w:hAnsi="宋体" w:cs="宋体"/>
        </w:rPr>
        <w:t>风险控制</w:t>
      </w:r>
      <w:r>
        <w:rPr>
          <w:rFonts w:hint="eastAsia" w:hAnsi="宋体" w:cs="宋体"/>
        </w:rPr>
        <w:tab/>
      </w:r>
      <w:r>
        <w:rPr>
          <w:rFonts w:hint="eastAsia" w:hAnsi="宋体" w:cs="宋体"/>
        </w:rPr>
        <w:fldChar w:fldCharType="begin"/>
      </w:r>
      <w:r>
        <w:rPr>
          <w:rFonts w:hint="eastAsia" w:hAnsi="宋体" w:cs="宋体"/>
        </w:rPr>
        <w:instrText xml:space="preserve"> PAGEREF _Toc3 \h </w:instrText>
      </w:r>
      <w:r>
        <w:rPr>
          <w:rFonts w:hint="eastAsia" w:hAnsi="宋体" w:cs="宋体"/>
        </w:rPr>
        <w:fldChar w:fldCharType="separate"/>
      </w:r>
      <w:r>
        <w:rPr>
          <w:rFonts w:hint="eastAsia" w:hAnsi="宋体" w:cs="宋体"/>
        </w:rPr>
        <w:t>13</w:t>
      </w:r>
      <w:r>
        <w:rPr>
          <w:rFonts w:hint="eastAsia" w:hAnsi="宋体" w:cs="宋体"/>
        </w:rPr>
        <w:fldChar w:fldCharType="end"/>
      </w:r>
      <w:r>
        <w:rPr>
          <w:rFonts w:hint="eastAsia" w:hAnsi="宋体" w:cs="宋体"/>
        </w:rPr>
        <w:fldChar w:fldCharType="end"/>
      </w:r>
    </w:p>
    <w:p>
      <w:pPr>
        <w:pStyle w:val="20"/>
        <w:tabs>
          <w:tab w:val="right" w:leader="dot" w:pos="9355"/>
        </w:tabs>
        <w:rPr>
          <w:rFonts w:hint="eastAsia" w:hAnsi="宋体" w:cs="宋体"/>
        </w:rPr>
      </w:pPr>
      <w:r>
        <w:fldChar w:fldCharType="begin"/>
      </w:r>
      <w:r>
        <w:instrText xml:space="preserve"> HYPERLINK \l "_Toc2666" </w:instrText>
      </w:r>
      <w:r>
        <w:fldChar w:fldCharType="separate"/>
      </w:r>
      <w:r>
        <w:rPr>
          <w:rFonts w:hint="eastAsia" w:hAnsi="宋体" w:cs="宋体"/>
        </w:rPr>
        <w:t>8  隐患排查治理</w:t>
      </w:r>
      <w:r>
        <w:rPr>
          <w:rFonts w:hint="eastAsia" w:hAnsi="宋体" w:cs="宋体"/>
        </w:rPr>
        <w:tab/>
      </w:r>
      <w:r>
        <w:rPr>
          <w:rFonts w:hint="eastAsia" w:hAnsi="宋体" w:cs="宋体"/>
        </w:rPr>
        <w:fldChar w:fldCharType="begin"/>
      </w:r>
      <w:r>
        <w:rPr>
          <w:rFonts w:hint="eastAsia" w:hAnsi="宋体" w:cs="宋体"/>
        </w:rPr>
        <w:instrText xml:space="preserve"> PAGEREF _Toc2666 \h </w:instrText>
      </w:r>
      <w:r>
        <w:rPr>
          <w:rFonts w:hint="eastAsia" w:hAnsi="宋体" w:cs="宋体"/>
        </w:rPr>
        <w:fldChar w:fldCharType="separate"/>
      </w:r>
      <w:r>
        <w:rPr>
          <w:rFonts w:hint="eastAsia" w:hAnsi="宋体" w:cs="宋体"/>
        </w:rPr>
        <w:t>13</w:t>
      </w:r>
      <w:r>
        <w:rPr>
          <w:rFonts w:hint="eastAsia" w:hAnsi="宋体" w:cs="宋体"/>
        </w:rPr>
        <w:fldChar w:fldCharType="end"/>
      </w:r>
      <w:r>
        <w:rPr>
          <w:rFonts w:hint="eastAsia" w:hAnsi="宋体" w:cs="宋体"/>
        </w:rPr>
        <w:fldChar w:fldCharType="end"/>
      </w:r>
    </w:p>
    <w:p>
      <w:pPr>
        <w:pStyle w:val="25"/>
        <w:tabs>
          <w:tab w:val="right" w:leader="dot" w:pos="9355"/>
          <w:tab w:val="clear" w:pos="9344"/>
        </w:tabs>
        <w:rPr>
          <w:rFonts w:hint="eastAsia" w:hAnsi="宋体" w:cs="宋体"/>
        </w:rPr>
      </w:pPr>
      <w:r>
        <w:fldChar w:fldCharType="begin"/>
      </w:r>
      <w:r>
        <w:instrText xml:space="preserve"> HYPERLINK \l "_Toc22963" </w:instrText>
      </w:r>
      <w:r>
        <w:fldChar w:fldCharType="separate"/>
      </w:r>
      <w:r>
        <w:rPr>
          <w:rFonts w:hint="eastAsia" w:hAnsi="宋体" w:cs="宋体"/>
          <w:kern w:val="0"/>
        </w:rPr>
        <w:t xml:space="preserve">8.1  </w:t>
      </w:r>
      <w:r>
        <w:rPr>
          <w:rFonts w:hint="eastAsia" w:hAnsi="宋体" w:cs="宋体"/>
        </w:rPr>
        <w:t>一般要求</w:t>
      </w:r>
      <w:r>
        <w:rPr>
          <w:rFonts w:hint="eastAsia" w:hAnsi="宋体" w:cs="宋体"/>
        </w:rPr>
        <w:tab/>
      </w:r>
      <w:r>
        <w:rPr>
          <w:rFonts w:hint="eastAsia" w:hAnsi="宋体" w:cs="宋体"/>
        </w:rPr>
        <w:fldChar w:fldCharType="begin"/>
      </w:r>
      <w:r>
        <w:rPr>
          <w:rFonts w:hint="eastAsia" w:hAnsi="宋体" w:cs="宋体"/>
        </w:rPr>
        <w:instrText xml:space="preserve"> PAGEREF _Toc22963 \h </w:instrText>
      </w:r>
      <w:r>
        <w:rPr>
          <w:rFonts w:hint="eastAsia" w:hAnsi="宋体" w:cs="宋体"/>
        </w:rPr>
        <w:fldChar w:fldCharType="separate"/>
      </w:r>
      <w:r>
        <w:rPr>
          <w:rFonts w:hint="eastAsia" w:hAnsi="宋体" w:cs="宋体"/>
        </w:rPr>
        <w:t>14</w:t>
      </w:r>
      <w:r>
        <w:rPr>
          <w:rFonts w:hint="eastAsia" w:hAnsi="宋体" w:cs="宋体"/>
        </w:rPr>
        <w:fldChar w:fldCharType="end"/>
      </w:r>
      <w:r>
        <w:rPr>
          <w:rFonts w:hint="eastAsia" w:hAnsi="宋体" w:cs="宋体"/>
        </w:rPr>
        <w:fldChar w:fldCharType="end"/>
      </w:r>
    </w:p>
    <w:p>
      <w:pPr>
        <w:pStyle w:val="25"/>
        <w:tabs>
          <w:tab w:val="right" w:leader="dot" w:pos="9355"/>
          <w:tab w:val="clear" w:pos="9344"/>
        </w:tabs>
        <w:rPr>
          <w:rFonts w:hint="eastAsia" w:hAnsi="宋体" w:cs="宋体"/>
        </w:rPr>
      </w:pPr>
      <w:r>
        <w:fldChar w:fldCharType="begin"/>
      </w:r>
      <w:r>
        <w:instrText xml:space="preserve"> HYPERLINK \l "_Toc9610" </w:instrText>
      </w:r>
      <w:r>
        <w:fldChar w:fldCharType="separate"/>
      </w:r>
      <w:r>
        <w:rPr>
          <w:rFonts w:hint="eastAsia" w:hAnsi="宋体" w:cs="宋体"/>
          <w:kern w:val="0"/>
        </w:rPr>
        <w:t xml:space="preserve">8.2  </w:t>
      </w:r>
      <w:r>
        <w:rPr>
          <w:rFonts w:hint="eastAsia" w:hAnsi="宋体" w:cs="宋体"/>
        </w:rPr>
        <w:t>隐患排查</w:t>
      </w:r>
      <w:r>
        <w:rPr>
          <w:rFonts w:hint="eastAsia" w:hAnsi="宋体" w:cs="宋体"/>
        </w:rPr>
        <w:tab/>
      </w:r>
      <w:r>
        <w:rPr>
          <w:rFonts w:hint="eastAsia" w:hAnsi="宋体" w:cs="宋体"/>
        </w:rPr>
        <w:fldChar w:fldCharType="begin"/>
      </w:r>
      <w:r>
        <w:rPr>
          <w:rFonts w:hint="eastAsia" w:hAnsi="宋体" w:cs="宋体"/>
        </w:rPr>
        <w:instrText xml:space="preserve"> PAGEREF _Toc9610 \h </w:instrText>
      </w:r>
      <w:r>
        <w:rPr>
          <w:rFonts w:hint="eastAsia" w:hAnsi="宋体" w:cs="宋体"/>
        </w:rPr>
        <w:fldChar w:fldCharType="separate"/>
      </w:r>
      <w:r>
        <w:rPr>
          <w:rFonts w:hint="eastAsia" w:hAnsi="宋体" w:cs="宋体"/>
        </w:rPr>
        <w:t>14</w:t>
      </w:r>
      <w:r>
        <w:rPr>
          <w:rFonts w:hint="eastAsia" w:hAnsi="宋体" w:cs="宋体"/>
        </w:rPr>
        <w:fldChar w:fldCharType="end"/>
      </w:r>
      <w:r>
        <w:rPr>
          <w:rFonts w:hint="eastAsia" w:hAnsi="宋体" w:cs="宋体"/>
        </w:rPr>
        <w:fldChar w:fldCharType="end"/>
      </w:r>
    </w:p>
    <w:p>
      <w:pPr>
        <w:pStyle w:val="25"/>
        <w:tabs>
          <w:tab w:val="right" w:leader="dot" w:pos="9355"/>
          <w:tab w:val="clear" w:pos="9344"/>
        </w:tabs>
        <w:rPr>
          <w:rFonts w:hint="eastAsia" w:hAnsi="宋体" w:cs="宋体"/>
        </w:rPr>
      </w:pPr>
      <w:r>
        <w:fldChar w:fldCharType="begin"/>
      </w:r>
      <w:r>
        <w:instrText xml:space="preserve"> HYPERLINK \l "_Toc17760" </w:instrText>
      </w:r>
      <w:r>
        <w:fldChar w:fldCharType="separate"/>
      </w:r>
      <w:r>
        <w:rPr>
          <w:rFonts w:hint="eastAsia" w:hAnsi="宋体" w:cs="宋体"/>
          <w:kern w:val="0"/>
        </w:rPr>
        <w:t xml:space="preserve">8.3  </w:t>
      </w:r>
      <w:r>
        <w:rPr>
          <w:rFonts w:hint="eastAsia" w:hAnsi="宋体" w:cs="宋体"/>
        </w:rPr>
        <w:t>隐患治理</w:t>
      </w:r>
      <w:r>
        <w:rPr>
          <w:rFonts w:hint="eastAsia" w:hAnsi="宋体" w:cs="宋体"/>
        </w:rPr>
        <w:tab/>
      </w:r>
      <w:r>
        <w:rPr>
          <w:rFonts w:hint="eastAsia" w:hAnsi="宋体" w:cs="宋体"/>
        </w:rPr>
        <w:fldChar w:fldCharType="begin"/>
      </w:r>
      <w:r>
        <w:rPr>
          <w:rFonts w:hint="eastAsia" w:hAnsi="宋体" w:cs="宋体"/>
        </w:rPr>
        <w:instrText xml:space="preserve"> PAGEREF _Toc17760 \h </w:instrText>
      </w:r>
      <w:r>
        <w:rPr>
          <w:rFonts w:hint="eastAsia" w:hAnsi="宋体" w:cs="宋体"/>
        </w:rPr>
        <w:fldChar w:fldCharType="separate"/>
      </w:r>
      <w:r>
        <w:rPr>
          <w:rFonts w:hint="eastAsia" w:hAnsi="宋体" w:cs="宋体"/>
        </w:rPr>
        <w:t>14</w:t>
      </w:r>
      <w:r>
        <w:rPr>
          <w:rFonts w:hint="eastAsia" w:hAnsi="宋体" w:cs="宋体"/>
        </w:rPr>
        <w:fldChar w:fldCharType="end"/>
      </w:r>
      <w:r>
        <w:rPr>
          <w:rFonts w:hint="eastAsia" w:hAnsi="宋体" w:cs="宋体"/>
        </w:rPr>
        <w:fldChar w:fldCharType="end"/>
      </w:r>
    </w:p>
    <w:p>
      <w:pPr>
        <w:pStyle w:val="20"/>
        <w:tabs>
          <w:tab w:val="right" w:leader="dot" w:pos="9355"/>
        </w:tabs>
        <w:rPr>
          <w:rFonts w:hint="eastAsia" w:hAnsi="宋体" w:cs="宋体"/>
        </w:rPr>
      </w:pPr>
      <w:r>
        <w:fldChar w:fldCharType="begin"/>
      </w:r>
      <w:r>
        <w:instrText xml:space="preserve"> HYPERLINK \l "_Toc2683" </w:instrText>
      </w:r>
      <w:r>
        <w:fldChar w:fldCharType="separate"/>
      </w:r>
      <w:r>
        <w:rPr>
          <w:rFonts w:hint="eastAsia" w:hAnsi="宋体" w:cs="宋体"/>
        </w:rPr>
        <w:t>9  人员管理</w:t>
      </w:r>
      <w:r>
        <w:rPr>
          <w:rFonts w:hint="eastAsia" w:hAnsi="宋体" w:cs="宋体"/>
        </w:rPr>
        <w:tab/>
      </w:r>
      <w:r>
        <w:rPr>
          <w:rFonts w:hint="eastAsia" w:hAnsi="宋体" w:cs="宋体"/>
        </w:rPr>
        <w:fldChar w:fldCharType="begin"/>
      </w:r>
      <w:r>
        <w:rPr>
          <w:rFonts w:hint="eastAsia" w:hAnsi="宋体" w:cs="宋体"/>
        </w:rPr>
        <w:instrText xml:space="preserve"> PAGEREF _Toc2683 \h </w:instrText>
      </w:r>
      <w:r>
        <w:rPr>
          <w:rFonts w:hint="eastAsia" w:hAnsi="宋体" w:cs="宋体"/>
        </w:rPr>
        <w:fldChar w:fldCharType="separate"/>
      </w:r>
      <w:r>
        <w:rPr>
          <w:rFonts w:hint="eastAsia" w:hAnsi="宋体" w:cs="宋体"/>
        </w:rPr>
        <w:t>14</w:t>
      </w:r>
      <w:r>
        <w:rPr>
          <w:rFonts w:hint="eastAsia" w:hAnsi="宋体" w:cs="宋体"/>
        </w:rPr>
        <w:fldChar w:fldCharType="end"/>
      </w:r>
      <w:r>
        <w:rPr>
          <w:rFonts w:hint="eastAsia" w:hAnsi="宋体" w:cs="宋体"/>
        </w:rPr>
        <w:fldChar w:fldCharType="end"/>
      </w:r>
    </w:p>
    <w:p>
      <w:pPr>
        <w:pStyle w:val="25"/>
        <w:tabs>
          <w:tab w:val="right" w:leader="dot" w:pos="9355"/>
          <w:tab w:val="clear" w:pos="9344"/>
        </w:tabs>
        <w:rPr>
          <w:rFonts w:hint="eastAsia" w:hAnsi="宋体" w:cs="宋体"/>
        </w:rPr>
      </w:pPr>
      <w:r>
        <w:fldChar w:fldCharType="begin"/>
      </w:r>
      <w:r>
        <w:instrText xml:space="preserve"> HYPERLINK \l "_Toc325" </w:instrText>
      </w:r>
      <w:r>
        <w:fldChar w:fldCharType="separate"/>
      </w:r>
      <w:r>
        <w:rPr>
          <w:rFonts w:hint="eastAsia" w:hAnsi="宋体" w:cs="宋体"/>
          <w:kern w:val="0"/>
        </w:rPr>
        <w:t xml:space="preserve">9.1  </w:t>
      </w:r>
      <w:r>
        <w:rPr>
          <w:rFonts w:hint="eastAsia" w:hAnsi="宋体" w:cs="宋体"/>
        </w:rPr>
        <w:t>人员准入</w:t>
      </w:r>
      <w:r>
        <w:rPr>
          <w:rFonts w:hint="eastAsia" w:hAnsi="宋体" w:cs="宋体"/>
        </w:rPr>
        <w:tab/>
      </w:r>
      <w:r>
        <w:rPr>
          <w:rFonts w:hint="eastAsia" w:hAnsi="宋体" w:cs="宋体"/>
        </w:rPr>
        <w:fldChar w:fldCharType="begin"/>
      </w:r>
      <w:r>
        <w:rPr>
          <w:rFonts w:hint="eastAsia" w:hAnsi="宋体" w:cs="宋体"/>
        </w:rPr>
        <w:instrText xml:space="preserve"> PAGEREF _Toc325 \h </w:instrText>
      </w:r>
      <w:r>
        <w:rPr>
          <w:rFonts w:hint="eastAsia" w:hAnsi="宋体" w:cs="宋体"/>
        </w:rPr>
        <w:fldChar w:fldCharType="separate"/>
      </w:r>
      <w:r>
        <w:rPr>
          <w:rFonts w:hint="eastAsia" w:hAnsi="宋体" w:cs="宋体"/>
        </w:rPr>
        <w:t>14</w:t>
      </w:r>
      <w:r>
        <w:rPr>
          <w:rFonts w:hint="eastAsia" w:hAnsi="宋体" w:cs="宋体"/>
        </w:rPr>
        <w:fldChar w:fldCharType="end"/>
      </w:r>
      <w:r>
        <w:rPr>
          <w:rFonts w:hint="eastAsia" w:hAnsi="宋体" w:cs="宋体"/>
        </w:rPr>
        <w:fldChar w:fldCharType="end"/>
      </w:r>
    </w:p>
    <w:p>
      <w:pPr>
        <w:pStyle w:val="25"/>
        <w:tabs>
          <w:tab w:val="right" w:leader="dot" w:pos="9355"/>
          <w:tab w:val="clear" w:pos="9344"/>
        </w:tabs>
        <w:rPr>
          <w:rFonts w:hint="eastAsia" w:hAnsi="宋体" w:cs="宋体"/>
        </w:rPr>
      </w:pPr>
      <w:r>
        <w:fldChar w:fldCharType="begin"/>
      </w:r>
      <w:r>
        <w:instrText xml:space="preserve"> HYPERLINK \l "_Toc28359" </w:instrText>
      </w:r>
      <w:r>
        <w:fldChar w:fldCharType="separate"/>
      </w:r>
      <w:r>
        <w:rPr>
          <w:rFonts w:hint="eastAsia" w:hAnsi="宋体" w:cs="宋体"/>
          <w:kern w:val="0"/>
        </w:rPr>
        <w:t xml:space="preserve">9.2  </w:t>
      </w:r>
      <w:r>
        <w:rPr>
          <w:rFonts w:hint="eastAsia" w:hAnsi="宋体" w:cs="宋体"/>
        </w:rPr>
        <w:t>安全资格</w:t>
      </w:r>
      <w:r>
        <w:rPr>
          <w:rFonts w:hint="eastAsia" w:hAnsi="宋体" w:cs="宋体"/>
        </w:rPr>
        <w:tab/>
      </w:r>
      <w:r>
        <w:rPr>
          <w:rFonts w:hint="eastAsia" w:hAnsi="宋体" w:cs="宋体"/>
        </w:rPr>
        <w:fldChar w:fldCharType="begin"/>
      </w:r>
      <w:r>
        <w:rPr>
          <w:rFonts w:hint="eastAsia" w:hAnsi="宋体" w:cs="宋体"/>
        </w:rPr>
        <w:instrText xml:space="preserve"> PAGEREF _Toc28359 \h </w:instrText>
      </w:r>
      <w:r>
        <w:rPr>
          <w:rFonts w:hint="eastAsia" w:hAnsi="宋体" w:cs="宋体"/>
        </w:rPr>
        <w:fldChar w:fldCharType="separate"/>
      </w:r>
      <w:r>
        <w:rPr>
          <w:rFonts w:hint="eastAsia" w:hAnsi="宋体" w:cs="宋体"/>
        </w:rPr>
        <w:t>14</w:t>
      </w:r>
      <w:r>
        <w:rPr>
          <w:rFonts w:hint="eastAsia" w:hAnsi="宋体" w:cs="宋体"/>
        </w:rPr>
        <w:fldChar w:fldCharType="end"/>
      </w:r>
      <w:r>
        <w:rPr>
          <w:rFonts w:hint="eastAsia" w:hAnsi="宋体" w:cs="宋体"/>
        </w:rPr>
        <w:fldChar w:fldCharType="end"/>
      </w:r>
    </w:p>
    <w:p>
      <w:pPr>
        <w:pStyle w:val="25"/>
        <w:tabs>
          <w:tab w:val="right" w:leader="dot" w:pos="9355"/>
          <w:tab w:val="clear" w:pos="9344"/>
        </w:tabs>
        <w:rPr>
          <w:rFonts w:hint="eastAsia" w:hAnsi="宋体" w:cs="宋体"/>
        </w:rPr>
      </w:pPr>
      <w:r>
        <w:fldChar w:fldCharType="begin"/>
      </w:r>
      <w:r>
        <w:instrText xml:space="preserve"> HYPERLINK \l "_Toc1046" </w:instrText>
      </w:r>
      <w:r>
        <w:fldChar w:fldCharType="separate"/>
      </w:r>
      <w:r>
        <w:rPr>
          <w:rFonts w:hint="eastAsia" w:hAnsi="宋体" w:cs="宋体"/>
          <w:kern w:val="0"/>
        </w:rPr>
        <w:t xml:space="preserve">9.3  </w:t>
      </w:r>
      <w:r>
        <w:rPr>
          <w:rFonts w:hint="eastAsia" w:hAnsi="宋体" w:cs="宋体"/>
        </w:rPr>
        <w:t>安全培训</w:t>
      </w:r>
      <w:r>
        <w:rPr>
          <w:rFonts w:hint="eastAsia" w:hAnsi="宋体" w:cs="宋体"/>
        </w:rPr>
        <w:tab/>
      </w:r>
      <w:r>
        <w:rPr>
          <w:rFonts w:hint="eastAsia" w:hAnsi="宋体" w:cs="宋体"/>
        </w:rPr>
        <w:fldChar w:fldCharType="begin"/>
      </w:r>
      <w:r>
        <w:rPr>
          <w:rFonts w:hint="eastAsia" w:hAnsi="宋体" w:cs="宋体"/>
        </w:rPr>
        <w:instrText xml:space="preserve"> PAGEREF _Toc1046 \h </w:instrText>
      </w:r>
      <w:r>
        <w:rPr>
          <w:rFonts w:hint="eastAsia" w:hAnsi="宋体" w:cs="宋体"/>
        </w:rPr>
        <w:fldChar w:fldCharType="separate"/>
      </w:r>
      <w:r>
        <w:rPr>
          <w:rFonts w:hint="eastAsia" w:hAnsi="宋体" w:cs="宋体"/>
        </w:rPr>
        <w:t>14</w:t>
      </w:r>
      <w:r>
        <w:rPr>
          <w:rFonts w:hint="eastAsia" w:hAnsi="宋体" w:cs="宋体"/>
        </w:rPr>
        <w:fldChar w:fldCharType="end"/>
      </w:r>
      <w:r>
        <w:rPr>
          <w:rFonts w:hint="eastAsia" w:hAnsi="宋体" w:cs="宋体"/>
        </w:rPr>
        <w:fldChar w:fldCharType="end"/>
      </w:r>
    </w:p>
    <w:p>
      <w:pPr>
        <w:pStyle w:val="25"/>
        <w:tabs>
          <w:tab w:val="right" w:leader="dot" w:pos="9355"/>
          <w:tab w:val="clear" w:pos="9344"/>
        </w:tabs>
        <w:rPr>
          <w:rFonts w:hint="eastAsia" w:hAnsi="宋体" w:cs="宋体"/>
        </w:rPr>
      </w:pPr>
      <w:r>
        <w:fldChar w:fldCharType="begin"/>
      </w:r>
      <w:r>
        <w:instrText xml:space="preserve"> HYPERLINK \l "_Toc28760" </w:instrText>
      </w:r>
      <w:r>
        <w:fldChar w:fldCharType="separate"/>
      </w:r>
      <w:r>
        <w:rPr>
          <w:rFonts w:hint="eastAsia" w:hAnsi="宋体" w:cs="宋体"/>
          <w:kern w:val="0"/>
        </w:rPr>
        <w:t xml:space="preserve">9.4  </w:t>
      </w:r>
      <w:r>
        <w:rPr>
          <w:rFonts w:hint="eastAsia" w:hAnsi="宋体" w:cs="宋体"/>
        </w:rPr>
        <w:t>行为管控</w:t>
      </w:r>
      <w:r>
        <w:rPr>
          <w:rFonts w:hint="eastAsia" w:hAnsi="宋体" w:cs="宋体"/>
        </w:rPr>
        <w:tab/>
      </w:r>
      <w:r>
        <w:rPr>
          <w:rFonts w:hint="eastAsia" w:hAnsi="宋体" w:cs="宋体"/>
        </w:rPr>
        <w:fldChar w:fldCharType="begin"/>
      </w:r>
      <w:r>
        <w:rPr>
          <w:rFonts w:hint="eastAsia" w:hAnsi="宋体" w:cs="宋体"/>
        </w:rPr>
        <w:instrText xml:space="preserve"> PAGEREF _Toc28760 \h </w:instrText>
      </w:r>
      <w:r>
        <w:rPr>
          <w:rFonts w:hint="eastAsia" w:hAnsi="宋体" w:cs="宋体"/>
        </w:rPr>
        <w:fldChar w:fldCharType="separate"/>
      </w:r>
      <w:r>
        <w:rPr>
          <w:rFonts w:hint="eastAsia" w:hAnsi="宋体" w:cs="宋体"/>
        </w:rPr>
        <w:t>15</w:t>
      </w:r>
      <w:r>
        <w:rPr>
          <w:rFonts w:hint="eastAsia" w:hAnsi="宋体" w:cs="宋体"/>
        </w:rPr>
        <w:fldChar w:fldCharType="end"/>
      </w:r>
      <w:r>
        <w:rPr>
          <w:rFonts w:hint="eastAsia" w:hAnsi="宋体" w:cs="宋体"/>
        </w:rPr>
        <w:fldChar w:fldCharType="end"/>
      </w:r>
    </w:p>
    <w:p>
      <w:pPr>
        <w:pStyle w:val="20"/>
        <w:tabs>
          <w:tab w:val="right" w:leader="dot" w:pos="9355"/>
        </w:tabs>
        <w:rPr>
          <w:rFonts w:hint="eastAsia" w:hAnsi="宋体" w:cs="宋体"/>
        </w:rPr>
      </w:pPr>
      <w:r>
        <w:fldChar w:fldCharType="begin"/>
      </w:r>
      <w:r>
        <w:instrText xml:space="preserve"> HYPERLINK \l "_Toc5620" </w:instrText>
      </w:r>
      <w:r>
        <w:fldChar w:fldCharType="separate"/>
      </w:r>
      <w:r>
        <w:rPr>
          <w:rFonts w:hint="eastAsia" w:hAnsi="宋体" w:cs="宋体"/>
        </w:rPr>
        <w:t>10  现场管理</w:t>
      </w:r>
      <w:r>
        <w:rPr>
          <w:rFonts w:hint="eastAsia" w:hAnsi="宋体" w:cs="宋体"/>
        </w:rPr>
        <w:tab/>
      </w:r>
      <w:r>
        <w:rPr>
          <w:rFonts w:hint="eastAsia" w:hAnsi="宋体" w:cs="宋体"/>
        </w:rPr>
        <w:fldChar w:fldCharType="begin"/>
      </w:r>
      <w:r>
        <w:rPr>
          <w:rFonts w:hint="eastAsia" w:hAnsi="宋体" w:cs="宋体"/>
        </w:rPr>
        <w:instrText xml:space="preserve"> PAGEREF _Toc5620 \h </w:instrText>
      </w:r>
      <w:r>
        <w:rPr>
          <w:rFonts w:hint="eastAsia" w:hAnsi="宋体" w:cs="宋体"/>
        </w:rPr>
        <w:fldChar w:fldCharType="separate"/>
      </w:r>
      <w:r>
        <w:rPr>
          <w:rFonts w:hint="eastAsia" w:hAnsi="宋体" w:cs="宋体"/>
        </w:rPr>
        <w:t>16</w:t>
      </w:r>
      <w:r>
        <w:rPr>
          <w:rFonts w:hint="eastAsia" w:hAnsi="宋体" w:cs="宋体"/>
        </w:rPr>
        <w:fldChar w:fldCharType="end"/>
      </w:r>
      <w:r>
        <w:rPr>
          <w:rFonts w:hint="eastAsia" w:hAnsi="宋体" w:cs="宋体"/>
        </w:rPr>
        <w:fldChar w:fldCharType="end"/>
      </w:r>
    </w:p>
    <w:p>
      <w:pPr>
        <w:pStyle w:val="25"/>
        <w:tabs>
          <w:tab w:val="right" w:leader="dot" w:pos="9355"/>
          <w:tab w:val="clear" w:pos="9344"/>
        </w:tabs>
        <w:rPr>
          <w:rFonts w:hint="eastAsia" w:hAnsi="宋体" w:cs="宋体"/>
        </w:rPr>
      </w:pPr>
      <w:r>
        <w:fldChar w:fldCharType="begin"/>
      </w:r>
      <w:r>
        <w:instrText xml:space="preserve"> HYPERLINK \l "_Toc22822" </w:instrText>
      </w:r>
      <w:r>
        <w:fldChar w:fldCharType="separate"/>
      </w:r>
      <w:r>
        <w:rPr>
          <w:rFonts w:hint="eastAsia" w:hAnsi="宋体" w:cs="宋体"/>
          <w:kern w:val="0"/>
        </w:rPr>
        <w:t xml:space="preserve">10.1  </w:t>
      </w:r>
      <w:r>
        <w:rPr>
          <w:rFonts w:hint="eastAsia" w:hAnsi="宋体" w:cs="宋体"/>
        </w:rPr>
        <w:t>作业环境与条件</w:t>
      </w:r>
      <w:r>
        <w:rPr>
          <w:rFonts w:hint="eastAsia" w:hAnsi="宋体" w:cs="宋体"/>
        </w:rPr>
        <w:tab/>
      </w:r>
      <w:r>
        <w:rPr>
          <w:rFonts w:hint="eastAsia" w:hAnsi="宋体" w:cs="宋体"/>
        </w:rPr>
        <w:fldChar w:fldCharType="begin"/>
      </w:r>
      <w:r>
        <w:rPr>
          <w:rFonts w:hint="eastAsia" w:hAnsi="宋体" w:cs="宋体"/>
        </w:rPr>
        <w:instrText xml:space="preserve"> PAGEREF _Toc22822 \h </w:instrText>
      </w:r>
      <w:r>
        <w:rPr>
          <w:rFonts w:hint="eastAsia" w:hAnsi="宋体" w:cs="宋体"/>
        </w:rPr>
        <w:fldChar w:fldCharType="separate"/>
      </w:r>
      <w:r>
        <w:rPr>
          <w:rFonts w:hint="eastAsia" w:hAnsi="宋体" w:cs="宋体"/>
        </w:rPr>
        <w:t>16</w:t>
      </w:r>
      <w:r>
        <w:rPr>
          <w:rFonts w:hint="eastAsia" w:hAnsi="宋体" w:cs="宋体"/>
        </w:rPr>
        <w:fldChar w:fldCharType="end"/>
      </w:r>
      <w:r>
        <w:rPr>
          <w:rFonts w:hint="eastAsia" w:hAnsi="宋体" w:cs="宋体"/>
        </w:rPr>
        <w:fldChar w:fldCharType="end"/>
      </w:r>
    </w:p>
    <w:p>
      <w:pPr>
        <w:pStyle w:val="25"/>
        <w:tabs>
          <w:tab w:val="right" w:leader="dot" w:pos="9355"/>
          <w:tab w:val="clear" w:pos="9344"/>
        </w:tabs>
        <w:rPr>
          <w:rFonts w:hint="eastAsia" w:hAnsi="宋体" w:cs="宋体"/>
        </w:rPr>
      </w:pPr>
      <w:r>
        <w:fldChar w:fldCharType="begin"/>
      </w:r>
      <w:r>
        <w:instrText xml:space="preserve"> HYPERLINK \l "_Toc23019" </w:instrText>
      </w:r>
      <w:r>
        <w:fldChar w:fldCharType="separate"/>
      </w:r>
      <w:r>
        <w:rPr>
          <w:rFonts w:hint="eastAsia" w:hAnsi="宋体" w:cs="宋体"/>
          <w:kern w:val="0"/>
        </w:rPr>
        <w:t xml:space="preserve">10.2  </w:t>
      </w:r>
      <w:r>
        <w:rPr>
          <w:rFonts w:hint="eastAsia" w:hAnsi="宋体" w:cs="宋体"/>
        </w:rPr>
        <w:t>设备设施</w:t>
      </w:r>
      <w:r>
        <w:rPr>
          <w:rFonts w:hint="eastAsia" w:hAnsi="宋体" w:cs="宋体"/>
        </w:rPr>
        <w:tab/>
      </w:r>
      <w:r>
        <w:rPr>
          <w:rFonts w:hint="eastAsia" w:hAnsi="宋体" w:cs="宋体"/>
        </w:rPr>
        <w:fldChar w:fldCharType="begin"/>
      </w:r>
      <w:r>
        <w:rPr>
          <w:rFonts w:hint="eastAsia" w:hAnsi="宋体" w:cs="宋体"/>
        </w:rPr>
        <w:instrText xml:space="preserve"> PAGEREF _Toc23019 \h </w:instrText>
      </w:r>
      <w:r>
        <w:rPr>
          <w:rFonts w:hint="eastAsia" w:hAnsi="宋体" w:cs="宋体"/>
        </w:rPr>
        <w:fldChar w:fldCharType="separate"/>
      </w:r>
      <w:r>
        <w:rPr>
          <w:rFonts w:hint="eastAsia" w:hAnsi="宋体" w:cs="宋体"/>
        </w:rPr>
        <w:t>16</w:t>
      </w:r>
      <w:r>
        <w:rPr>
          <w:rFonts w:hint="eastAsia" w:hAnsi="宋体" w:cs="宋体"/>
        </w:rPr>
        <w:fldChar w:fldCharType="end"/>
      </w:r>
      <w:r>
        <w:rPr>
          <w:rFonts w:hint="eastAsia" w:hAnsi="宋体" w:cs="宋体"/>
        </w:rPr>
        <w:fldChar w:fldCharType="end"/>
      </w:r>
    </w:p>
    <w:p>
      <w:pPr>
        <w:pStyle w:val="25"/>
        <w:tabs>
          <w:tab w:val="right" w:leader="dot" w:pos="9355"/>
          <w:tab w:val="clear" w:pos="9344"/>
        </w:tabs>
        <w:rPr>
          <w:rFonts w:hint="eastAsia" w:hAnsi="宋体" w:cs="宋体"/>
        </w:rPr>
      </w:pPr>
      <w:r>
        <w:fldChar w:fldCharType="begin"/>
      </w:r>
      <w:r>
        <w:instrText xml:space="preserve"> HYPERLINK \l "_Toc1338" </w:instrText>
      </w:r>
      <w:r>
        <w:fldChar w:fldCharType="separate"/>
      </w:r>
      <w:r>
        <w:rPr>
          <w:rFonts w:hint="eastAsia" w:hAnsi="宋体" w:cs="宋体"/>
          <w:kern w:val="0"/>
        </w:rPr>
        <w:t xml:space="preserve">10.3  </w:t>
      </w:r>
      <w:r>
        <w:rPr>
          <w:rFonts w:hint="eastAsia" w:hAnsi="宋体" w:cs="宋体"/>
        </w:rPr>
        <w:t>危险作业</w:t>
      </w:r>
      <w:r>
        <w:rPr>
          <w:rFonts w:hint="eastAsia" w:hAnsi="宋体" w:cs="宋体"/>
        </w:rPr>
        <w:tab/>
      </w:r>
      <w:r>
        <w:rPr>
          <w:rFonts w:hint="eastAsia" w:hAnsi="宋体" w:cs="宋体"/>
        </w:rPr>
        <w:fldChar w:fldCharType="begin"/>
      </w:r>
      <w:r>
        <w:rPr>
          <w:rFonts w:hint="eastAsia" w:hAnsi="宋体" w:cs="宋体"/>
        </w:rPr>
        <w:instrText xml:space="preserve"> PAGEREF _Toc1338 \h </w:instrText>
      </w:r>
      <w:r>
        <w:rPr>
          <w:rFonts w:hint="eastAsia" w:hAnsi="宋体" w:cs="宋体"/>
        </w:rPr>
        <w:fldChar w:fldCharType="separate"/>
      </w:r>
      <w:r>
        <w:rPr>
          <w:rFonts w:hint="eastAsia" w:hAnsi="宋体" w:cs="宋体"/>
        </w:rPr>
        <w:t>17</w:t>
      </w:r>
      <w:r>
        <w:rPr>
          <w:rFonts w:hint="eastAsia" w:hAnsi="宋体" w:cs="宋体"/>
        </w:rPr>
        <w:fldChar w:fldCharType="end"/>
      </w:r>
      <w:r>
        <w:rPr>
          <w:rFonts w:hint="eastAsia" w:hAnsi="宋体" w:cs="宋体"/>
        </w:rPr>
        <w:fldChar w:fldCharType="end"/>
      </w:r>
    </w:p>
    <w:p>
      <w:pPr>
        <w:pStyle w:val="25"/>
        <w:tabs>
          <w:tab w:val="right" w:leader="dot" w:pos="9355"/>
          <w:tab w:val="clear" w:pos="9344"/>
        </w:tabs>
        <w:rPr>
          <w:rFonts w:hint="eastAsia" w:hAnsi="宋体" w:cs="宋体"/>
        </w:rPr>
      </w:pPr>
      <w:r>
        <w:fldChar w:fldCharType="begin"/>
      </w:r>
      <w:r>
        <w:instrText xml:space="preserve"> HYPERLINK \l "_Toc5220" </w:instrText>
      </w:r>
      <w:r>
        <w:fldChar w:fldCharType="separate"/>
      </w:r>
      <w:r>
        <w:rPr>
          <w:rFonts w:hint="eastAsia" w:hAnsi="宋体" w:cs="宋体"/>
          <w:kern w:val="0"/>
        </w:rPr>
        <w:t xml:space="preserve">10.4  </w:t>
      </w:r>
      <w:r>
        <w:rPr>
          <w:rFonts w:hint="eastAsia" w:hAnsi="宋体" w:cs="宋体"/>
        </w:rPr>
        <w:t>异常处置</w:t>
      </w:r>
      <w:r>
        <w:rPr>
          <w:rFonts w:hint="eastAsia" w:hAnsi="宋体" w:cs="宋体"/>
        </w:rPr>
        <w:tab/>
      </w:r>
      <w:r>
        <w:rPr>
          <w:rFonts w:hint="eastAsia" w:hAnsi="宋体" w:cs="宋体"/>
        </w:rPr>
        <w:fldChar w:fldCharType="begin"/>
      </w:r>
      <w:r>
        <w:rPr>
          <w:rFonts w:hint="eastAsia" w:hAnsi="宋体" w:cs="宋体"/>
        </w:rPr>
        <w:instrText xml:space="preserve"> PAGEREF _Toc5220 \h </w:instrText>
      </w:r>
      <w:r>
        <w:rPr>
          <w:rFonts w:hint="eastAsia" w:hAnsi="宋体" w:cs="宋体"/>
        </w:rPr>
        <w:fldChar w:fldCharType="separate"/>
      </w:r>
      <w:r>
        <w:rPr>
          <w:rFonts w:hint="eastAsia" w:hAnsi="宋体" w:cs="宋体"/>
        </w:rPr>
        <w:t>17</w:t>
      </w:r>
      <w:r>
        <w:rPr>
          <w:rFonts w:hint="eastAsia" w:hAnsi="宋体" w:cs="宋体"/>
        </w:rPr>
        <w:fldChar w:fldCharType="end"/>
      </w:r>
      <w:r>
        <w:rPr>
          <w:rFonts w:hint="eastAsia" w:hAnsi="宋体" w:cs="宋体"/>
        </w:rPr>
        <w:fldChar w:fldCharType="end"/>
      </w:r>
    </w:p>
    <w:p>
      <w:pPr>
        <w:pStyle w:val="25"/>
        <w:tabs>
          <w:tab w:val="right" w:leader="dot" w:pos="9355"/>
          <w:tab w:val="clear" w:pos="9344"/>
        </w:tabs>
        <w:rPr>
          <w:rFonts w:hint="eastAsia" w:hAnsi="宋体" w:cs="宋体"/>
        </w:rPr>
      </w:pPr>
      <w:r>
        <w:fldChar w:fldCharType="begin"/>
      </w:r>
      <w:r>
        <w:instrText xml:space="preserve"> HYPERLINK \l "_Toc9681" </w:instrText>
      </w:r>
      <w:r>
        <w:fldChar w:fldCharType="separate"/>
      </w:r>
      <w:r>
        <w:rPr>
          <w:rFonts w:hint="eastAsia" w:hAnsi="宋体" w:cs="宋体"/>
          <w:kern w:val="0"/>
        </w:rPr>
        <w:t xml:space="preserve">10.5  </w:t>
      </w:r>
      <w:r>
        <w:rPr>
          <w:rFonts w:hint="eastAsia" w:hAnsi="宋体" w:cs="宋体"/>
        </w:rPr>
        <w:t>变更管理</w:t>
      </w:r>
      <w:r>
        <w:rPr>
          <w:rFonts w:hint="eastAsia" w:hAnsi="宋体" w:cs="宋体"/>
        </w:rPr>
        <w:tab/>
      </w:r>
      <w:r>
        <w:rPr>
          <w:rFonts w:hint="eastAsia" w:hAnsi="宋体" w:cs="宋体"/>
        </w:rPr>
        <w:fldChar w:fldCharType="begin"/>
      </w:r>
      <w:r>
        <w:rPr>
          <w:rFonts w:hint="eastAsia" w:hAnsi="宋体" w:cs="宋体"/>
        </w:rPr>
        <w:instrText xml:space="preserve"> PAGEREF _Toc9681 \h </w:instrText>
      </w:r>
      <w:r>
        <w:rPr>
          <w:rFonts w:hint="eastAsia" w:hAnsi="宋体" w:cs="宋体"/>
        </w:rPr>
        <w:fldChar w:fldCharType="separate"/>
      </w:r>
      <w:r>
        <w:rPr>
          <w:rFonts w:hint="eastAsia" w:hAnsi="宋体" w:cs="宋体"/>
        </w:rPr>
        <w:t>17</w:t>
      </w:r>
      <w:r>
        <w:rPr>
          <w:rFonts w:hint="eastAsia" w:hAnsi="宋体" w:cs="宋体"/>
        </w:rPr>
        <w:fldChar w:fldCharType="end"/>
      </w:r>
      <w:r>
        <w:rPr>
          <w:rFonts w:hint="eastAsia" w:hAnsi="宋体" w:cs="宋体"/>
        </w:rPr>
        <w:fldChar w:fldCharType="end"/>
      </w:r>
    </w:p>
    <w:p>
      <w:pPr>
        <w:pStyle w:val="25"/>
        <w:tabs>
          <w:tab w:val="right" w:leader="dot" w:pos="9355"/>
          <w:tab w:val="clear" w:pos="9344"/>
        </w:tabs>
        <w:rPr>
          <w:rFonts w:hint="eastAsia" w:hAnsi="宋体" w:cs="宋体"/>
        </w:rPr>
      </w:pPr>
      <w:r>
        <w:fldChar w:fldCharType="begin"/>
      </w:r>
      <w:r>
        <w:instrText xml:space="preserve"> HYPERLINK \l "_Toc7735" </w:instrText>
      </w:r>
      <w:r>
        <w:fldChar w:fldCharType="separate"/>
      </w:r>
      <w:r>
        <w:rPr>
          <w:rFonts w:hint="eastAsia" w:hAnsi="宋体" w:cs="宋体"/>
          <w:kern w:val="0"/>
        </w:rPr>
        <w:t xml:space="preserve">10.6  </w:t>
      </w:r>
      <w:r>
        <w:rPr>
          <w:rFonts w:hint="eastAsia" w:hAnsi="宋体" w:cs="宋体"/>
        </w:rPr>
        <w:t>相关方管理</w:t>
      </w:r>
      <w:r>
        <w:rPr>
          <w:rFonts w:hint="eastAsia" w:hAnsi="宋体" w:cs="宋体"/>
        </w:rPr>
        <w:tab/>
      </w:r>
      <w:r>
        <w:rPr>
          <w:rFonts w:hint="eastAsia" w:hAnsi="宋体" w:cs="宋体"/>
        </w:rPr>
        <w:fldChar w:fldCharType="begin"/>
      </w:r>
      <w:r>
        <w:rPr>
          <w:rFonts w:hint="eastAsia" w:hAnsi="宋体" w:cs="宋体"/>
        </w:rPr>
        <w:instrText xml:space="preserve"> PAGEREF _Toc7735 \h </w:instrText>
      </w:r>
      <w:r>
        <w:rPr>
          <w:rFonts w:hint="eastAsia" w:hAnsi="宋体" w:cs="宋体"/>
        </w:rPr>
        <w:fldChar w:fldCharType="separate"/>
      </w:r>
      <w:r>
        <w:rPr>
          <w:rFonts w:hint="eastAsia" w:hAnsi="宋体" w:cs="宋体"/>
        </w:rPr>
        <w:t>17</w:t>
      </w:r>
      <w:r>
        <w:rPr>
          <w:rFonts w:hint="eastAsia" w:hAnsi="宋体" w:cs="宋体"/>
        </w:rPr>
        <w:fldChar w:fldCharType="end"/>
      </w:r>
      <w:r>
        <w:rPr>
          <w:rFonts w:hint="eastAsia" w:hAnsi="宋体" w:cs="宋体"/>
        </w:rPr>
        <w:fldChar w:fldCharType="end"/>
      </w:r>
    </w:p>
    <w:p>
      <w:pPr>
        <w:pStyle w:val="20"/>
        <w:tabs>
          <w:tab w:val="right" w:leader="dot" w:pos="9355"/>
        </w:tabs>
        <w:rPr>
          <w:rFonts w:hint="eastAsia" w:hAnsi="宋体" w:cs="宋体"/>
        </w:rPr>
      </w:pPr>
      <w:r>
        <w:fldChar w:fldCharType="begin"/>
      </w:r>
      <w:r>
        <w:instrText xml:space="preserve"> HYPERLINK \l "_Toc12974" </w:instrText>
      </w:r>
      <w:r>
        <w:fldChar w:fldCharType="separate"/>
      </w:r>
      <w:r>
        <w:rPr>
          <w:rFonts w:hint="eastAsia" w:hAnsi="宋体" w:cs="宋体"/>
        </w:rPr>
        <w:t>11  应急管理</w:t>
      </w:r>
      <w:r>
        <w:rPr>
          <w:rFonts w:hint="eastAsia" w:hAnsi="宋体" w:cs="宋体"/>
        </w:rPr>
        <w:tab/>
      </w:r>
      <w:r>
        <w:rPr>
          <w:rFonts w:hint="eastAsia" w:hAnsi="宋体" w:cs="宋体"/>
        </w:rPr>
        <w:fldChar w:fldCharType="begin"/>
      </w:r>
      <w:r>
        <w:rPr>
          <w:rFonts w:hint="eastAsia" w:hAnsi="宋体" w:cs="宋体"/>
        </w:rPr>
        <w:instrText xml:space="preserve"> PAGEREF _Toc12974 \h </w:instrText>
      </w:r>
      <w:r>
        <w:rPr>
          <w:rFonts w:hint="eastAsia" w:hAnsi="宋体" w:cs="宋体"/>
        </w:rPr>
        <w:fldChar w:fldCharType="separate"/>
      </w:r>
      <w:r>
        <w:rPr>
          <w:rFonts w:hint="eastAsia" w:hAnsi="宋体" w:cs="宋体"/>
        </w:rPr>
        <w:t>18</w:t>
      </w:r>
      <w:r>
        <w:rPr>
          <w:rFonts w:hint="eastAsia" w:hAnsi="宋体" w:cs="宋体"/>
        </w:rPr>
        <w:fldChar w:fldCharType="end"/>
      </w:r>
      <w:r>
        <w:rPr>
          <w:rFonts w:hint="eastAsia" w:hAnsi="宋体" w:cs="宋体"/>
        </w:rPr>
        <w:fldChar w:fldCharType="end"/>
      </w:r>
    </w:p>
    <w:p>
      <w:pPr>
        <w:pStyle w:val="25"/>
        <w:tabs>
          <w:tab w:val="right" w:leader="dot" w:pos="9355"/>
          <w:tab w:val="clear" w:pos="9344"/>
        </w:tabs>
        <w:rPr>
          <w:rFonts w:hint="eastAsia" w:hAnsi="宋体" w:cs="宋体"/>
        </w:rPr>
      </w:pPr>
      <w:r>
        <w:fldChar w:fldCharType="begin"/>
      </w:r>
      <w:r>
        <w:instrText xml:space="preserve"> HYPERLINK \l "_Toc12609" </w:instrText>
      </w:r>
      <w:r>
        <w:fldChar w:fldCharType="separate"/>
      </w:r>
      <w:r>
        <w:rPr>
          <w:rFonts w:hint="eastAsia" w:hAnsi="宋体" w:cs="宋体"/>
          <w:kern w:val="0"/>
        </w:rPr>
        <w:t xml:space="preserve">11.1  </w:t>
      </w:r>
      <w:r>
        <w:rPr>
          <w:rFonts w:hint="eastAsia" w:hAnsi="宋体" w:cs="宋体"/>
        </w:rPr>
        <w:t>一般要求</w:t>
      </w:r>
      <w:r>
        <w:rPr>
          <w:rFonts w:hint="eastAsia" w:hAnsi="宋体" w:cs="宋体"/>
        </w:rPr>
        <w:tab/>
      </w:r>
      <w:r>
        <w:rPr>
          <w:rFonts w:hint="eastAsia" w:hAnsi="宋体" w:cs="宋体"/>
        </w:rPr>
        <w:fldChar w:fldCharType="begin"/>
      </w:r>
      <w:r>
        <w:rPr>
          <w:rFonts w:hint="eastAsia" w:hAnsi="宋体" w:cs="宋体"/>
        </w:rPr>
        <w:instrText xml:space="preserve"> PAGEREF _Toc12609 \h </w:instrText>
      </w:r>
      <w:r>
        <w:rPr>
          <w:rFonts w:hint="eastAsia" w:hAnsi="宋体" w:cs="宋体"/>
        </w:rPr>
        <w:fldChar w:fldCharType="separate"/>
      </w:r>
      <w:r>
        <w:rPr>
          <w:rFonts w:hint="eastAsia" w:hAnsi="宋体" w:cs="宋体"/>
        </w:rPr>
        <w:t>18</w:t>
      </w:r>
      <w:r>
        <w:rPr>
          <w:rFonts w:hint="eastAsia" w:hAnsi="宋体" w:cs="宋体"/>
        </w:rPr>
        <w:fldChar w:fldCharType="end"/>
      </w:r>
      <w:r>
        <w:rPr>
          <w:rFonts w:hint="eastAsia" w:hAnsi="宋体" w:cs="宋体"/>
        </w:rPr>
        <w:fldChar w:fldCharType="end"/>
      </w:r>
    </w:p>
    <w:p>
      <w:pPr>
        <w:pStyle w:val="25"/>
        <w:tabs>
          <w:tab w:val="right" w:leader="dot" w:pos="9355"/>
          <w:tab w:val="clear" w:pos="9344"/>
        </w:tabs>
        <w:rPr>
          <w:rFonts w:hint="eastAsia" w:hAnsi="宋体" w:cs="宋体"/>
        </w:rPr>
      </w:pPr>
      <w:r>
        <w:fldChar w:fldCharType="begin"/>
      </w:r>
      <w:r>
        <w:instrText xml:space="preserve"> HYPERLINK \l "_Toc8917" </w:instrText>
      </w:r>
      <w:r>
        <w:fldChar w:fldCharType="separate"/>
      </w:r>
      <w:r>
        <w:rPr>
          <w:rFonts w:hint="eastAsia" w:hAnsi="宋体" w:cs="宋体"/>
          <w:kern w:val="0"/>
        </w:rPr>
        <w:t xml:space="preserve">11.2  </w:t>
      </w:r>
      <w:r>
        <w:rPr>
          <w:rFonts w:hint="eastAsia" w:hAnsi="宋体" w:cs="宋体"/>
        </w:rPr>
        <w:t>应急准备</w:t>
      </w:r>
      <w:r>
        <w:rPr>
          <w:rFonts w:hint="eastAsia" w:hAnsi="宋体" w:cs="宋体"/>
        </w:rPr>
        <w:tab/>
      </w:r>
      <w:r>
        <w:rPr>
          <w:rFonts w:hint="eastAsia" w:hAnsi="宋体" w:cs="宋体"/>
        </w:rPr>
        <w:fldChar w:fldCharType="begin"/>
      </w:r>
      <w:r>
        <w:rPr>
          <w:rFonts w:hint="eastAsia" w:hAnsi="宋体" w:cs="宋体"/>
        </w:rPr>
        <w:instrText xml:space="preserve"> PAGEREF _Toc8917 \h </w:instrText>
      </w:r>
      <w:r>
        <w:rPr>
          <w:rFonts w:hint="eastAsia" w:hAnsi="宋体" w:cs="宋体"/>
        </w:rPr>
        <w:fldChar w:fldCharType="separate"/>
      </w:r>
      <w:r>
        <w:rPr>
          <w:rFonts w:hint="eastAsia" w:hAnsi="宋体" w:cs="宋体"/>
        </w:rPr>
        <w:t>18</w:t>
      </w:r>
      <w:r>
        <w:rPr>
          <w:rFonts w:hint="eastAsia" w:hAnsi="宋体" w:cs="宋体"/>
        </w:rPr>
        <w:fldChar w:fldCharType="end"/>
      </w:r>
      <w:r>
        <w:rPr>
          <w:rFonts w:hint="eastAsia" w:hAnsi="宋体" w:cs="宋体"/>
        </w:rPr>
        <w:fldChar w:fldCharType="end"/>
      </w:r>
    </w:p>
    <w:p>
      <w:pPr>
        <w:pStyle w:val="25"/>
        <w:tabs>
          <w:tab w:val="right" w:leader="dot" w:pos="9355"/>
          <w:tab w:val="clear" w:pos="9344"/>
        </w:tabs>
        <w:rPr>
          <w:rFonts w:hint="eastAsia" w:hAnsi="宋体" w:cs="宋体"/>
        </w:rPr>
      </w:pPr>
      <w:r>
        <w:fldChar w:fldCharType="begin"/>
      </w:r>
      <w:r>
        <w:instrText xml:space="preserve"> HYPERLINK \l "_Toc25252" </w:instrText>
      </w:r>
      <w:r>
        <w:fldChar w:fldCharType="separate"/>
      </w:r>
      <w:r>
        <w:rPr>
          <w:rFonts w:hint="eastAsia" w:hAnsi="宋体" w:cs="宋体"/>
          <w:kern w:val="0"/>
        </w:rPr>
        <w:t xml:space="preserve">11.3  </w:t>
      </w:r>
      <w:r>
        <w:rPr>
          <w:rFonts w:hint="eastAsia" w:hAnsi="宋体" w:cs="宋体"/>
        </w:rPr>
        <w:t>应急处置与救援</w:t>
      </w:r>
      <w:r>
        <w:rPr>
          <w:rFonts w:hint="eastAsia" w:hAnsi="宋体" w:cs="宋体"/>
        </w:rPr>
        <w:tab/>
      </w:r>
      <w:r>
        <w:rPr>
          <w:rFonts w:hint="eastAsia" w:hAnsi="宋体" w:cs="宋体"/>
        </w:rPr>
        <w:fldChar w:fldCharType="begin"/>
      </w:r>
      <w:r>
        <w:rPr>
          <w:rFonts w:hint="eastAsia" w:hAnsi="宋体" w:cs="宋体"/>
        </w:rPr>
        <w:instrText xml:space="preserve"> PAGEREF _Toc25252 \h </w:instrText>
      </w:r>
      <w:r>
        <w:rPr>
          <w:rFonts w:hint="eastAsia" w:hAnsi="宋体" w:cs="宋体"/>
        </w:rPr>
        <w:fldChar w:fldCharType="separate"/>
      </w:r>
      <w:r>
        <w:rPr>
          <w:rFonts w:hint="eastAsia" w:hAnsi="宋体" w:cs="宋体"/>
        </w:rPr>
        <w:t>19</w:t>
      </w:r>
      <w:r>
        <w:rPr>
          <w:rFonts w:hint="eastAsia" w:hAnsi="宋体" w:cs="宋体"/>
        </w:rPr>
        <w:fldChar w:fldCharType="end"/>
      </w:r>
      <w:r>
        <w:rPr>
          <w:rFonts w:hint="eastAsia" w:hAnsi="宋体" w:cs="宋体"/>
        </w:rPr>
        <w:fldChar w:fldCharType="end"/>
      </w:r>
    </w:p>
    <w:p>
      <w:pPr>
        <w:pStyle w:val="25"/>
        <w:tabs>
          <w:tab w:val="right" w:leader="dot" w:pos="9355"/>
          <w:tab w:val="clear" w:pos="9344"/>
        </w:tabs>
        <w:rPr>
          <w:rFonts w:hint="eastAsia" w:hAnsi="宋体" w:cs="宋体"/>
        </w:rPr>
      </w:pPr>
      <w:r>
        <w:fldChar w:fldCharType="begin"/>
      </w:r>
      <w:r>
        <w:instrText xml:space="preserve"> HYPERLINK \l "_Toc4166" </w:instrText>
      </w:r>
      <w:r>
        <w:fldChar w:fldCharType="separate"/>
      </w:r>
      <w:r>
        <w:rPr>
          <w:rFonts w:hint="eastAsia" w:hAnsi="宋体" w:cs="宋体"/>
          <w:kern w:val="0"/>
        </w:rPr>
        <w:t xml:space="preserve">11.4  </w:t>
      </w:r>
      <w:r>
        <w:rPr>
          <w:rFonts w:hint="eastAsia" w:hAnsi="宋体" w:cs="宋体"/>
        </w:rPr>
        <w:t>应急恢复</w:t>
      </w:r>
      <w:r>
        <w:rPr>
          <w:rFonts w:hint="eastAsia" w:hAnsi="宋体" w:cs="宋体"/>
        </w:rPr>
        <w:tab/>
      </w:r>
      <w:r>
        <w:rPr>
          <w:rFonts w:hint="eastAsia" w:hAnsi="宋体" w:cs="宋体"/>
        </w:rPr>
        <w:fldChar w:fldCharType="begin"/>
      </w:r>
      <w:r>
        <w:rPr>
          <w:rFonts w:hint="eastAsia" w:hAnsi="宋体" w:cs="宋体"/>
        </w:rPr>
        <w:instrText xml:space="preserve"> PAGEREF _Toc4166 \h </w:instrText>
      </w:r>
      <w:r>
        <w:rPr>
          <w:rFonts w:hint="eastAsia" w:hAnsi="宋体" w:cs="宋体"/>
        </w:rPr>
        <w:fldChar w:fldCharType="separate"/>
      </w:r>
      <w:r>
        <w:rPr>
          <w:rFonts w:hint="eastAsia" w:hAnsi="宋体" w:cs="宋体"/>
        </w:rPr>
        <w:t>19</w:t>
      </w:r>
      <w:r>
        <w:rPr>
          <w:rFonts w:hint="eastAsia" w:hAnsi="宋体" w:cs="宋体"/>
        </w:rPr>
        <w:fldChar w:fldCharType="end"/>
      </w:r>
      <w:r>
        <w:rPr>
          <w:rFonts w:hint="eastAsia" w:hAnsi="宋体" w:cs="宋体"/>
        </w:rPr>
        <w:fldChar w:fldCharType="end"/>
      </w:r>
    </w:p>
    <w:p>
      <w:pPr>
        <w:pStyle w:val="20"/>
        <w:tabs>
          <w:tab w:val="right" w:leader="dot" w:pos="9355"/>
        </w:tabs>
        <w:rPr>
          <w:rFonts w:hint="eastAsia" w:hAnsi="宋体" w:cs="宋体"/>
        </w:rPr>
      </w:pPr>
      <w:r>
        <w:fldChar w:fldCharType="begin"/>
      </w:r>
      <w:r>
        <w:instrText xml:space="preserve"> HYPERLINK \l "_Toc34" </w:instrText>
      </w:r>
      <w:r>
        <w:fldChar w:fldCharType="separate"/>
      </w:r>
      <w:r>
        <w:rPr>
          <w:rFonts w:hint="eastAsia" w:hAnsi="宋体" w:cs="宋体"/>
        </w:rPr>
        <w:t>12  检查评价</w:t>
      </w:r>
      <w:r>
        <w:rPr>
          <w:rFonts w:hint="eastAsia" w:hAnsi="宋体" w:cs="宋体"/>
        </w:rPr>
        <w:tab/>
      </w:r>
      <w:r>
        <w:rPr>
          <w:rFonts w:hint="eastAsia" w:hAnsi="宋体" w:cs="宋体"/>
        </w:rPr>
        <w:fldChar w:fldCharType="begin"/>
      </w:r>
      <w:r>
        <w:rPr>
          <w:rFonts w:hint="eastAsia" w:hAnsi="宋体" w:cs="宋体"/>
        </w:rPr>
        <w:instrText xml:space="preserve"> PAGEREF _Toc34 \h </w:instrText>
      </w:r>
      <w:r>
        <w:rPr>
          <w:rFonts w:hint="eastAsia" w:hAnsi="宋体" w:cs="宋体"/>
        </w:rPr>
        <w:fldChar w:fldCharType="separate"/>
      </w:r>
      <w:r>
        <w:rPr>
          <w:rFonts w:hint="eastAsia" w:hAnsi="宋体" w:cs="宋体"/>
        </w:rPr>
        <w:t>19</w:t>
      </w:r>
      <w:r>
        <w:rPr>
          <w:rFonts w:hint="eastAsia" w:hAnsi="宋体" w:cs="宋体"/>
        </w:rPr>
        <w:fldChar w:fldCharType="end"/>
      </w:r>
      <w:r>
        <w:rPr>
          <w:rFonts w:hint="eastAsia" w:hAnsi="宋体" w:cs="宋体"/>
        </w:rPr>
        <w:fldChar w:fldCharType="end"/>
      </w:r>
    </w:p>
    <w:p>
      <w:pPr>
        <w:pStyle w:val="25"/>
        <w:tabs>
          <w:tab w:val="right" w:leader="dot" w:pos="9355"/>
          <w:tab w:val="clear" w:pos="9344"/>
        </w:tabs>
        <w:rPr>
          <w:rFonts w:hint="eastAsia" w:hAnsi="宋体" w:cs="宋体"/>
        </w:rPr>
      </w:pPr>
      <w:r>
        <w:fldChar w:fldCharType="begin"/>
      </w:r>
      <w:r>
        <w:instrText xml:space="preserve"> HYPERLINK \l "_Toc18037" </w:instrText>
      </w:r>
      <w:r>
        <w:fldChar w:fldCharType="separate"/>
      </w:r>
      <w:r>
        <w:rPr>
          <w:rFonts w:hint="eastAsia" w:hAnsi="宋体" w:cs="宋体"/>
          <w:kern w:val="0"/>
        </w:rPr>
        <w:t xml:space="preserve">12.1  </w:t>
      </w:r>
      <w:r>
        <w:rPr>
          <w:rFonts w:hint="eastAsia" w:hAnsi="宋体" w:cs="宋体"/>
        </w:rPr>
        <w:t>安全检查</w:t>
      </w:r>
      <w:r>
        <w:rPr>
          <w:rFonts w:hint="eastAsia" w:hAnsi="宋体" w:cs="宋体"/>
        </w:rPr>
        <w:tab/>
      </w:r>
      <w:r>
        <w:rPr>
          <w:rFonts w:hint="eastAsia" w:hAnsi="宋体" w:cs="宋体"/>
        </w:rPr>
        <w:fldChar w:fldCharType="begin"/>
      </w:r>
      <w:r>
        <w:rPr>
          <w:rFonts w:hint="eastAsia" w:hAnsi="宋体" w:cs="宋体"/>
        </w:rPr>
        <w:instrText xml:space="preserve"> PAGEREF _Toc18037 \h </w:instrText>
      </w:r>
      <w:r>
        <w:rPr>
          <w:rFonts w:hint="eastAsia" w:hAnsi="宋体" w:cs="宋体"/>
        </w:rPr>
        <w:fldChar w:fldCharType="separate"/>
      </w:r>
      <w:r>
        <w:rPr>
          <w:rFonts w:hint="eastAsia" w:hAnsi="宋体" w:cs="宋体"/>
        </w:rPr>
        <w:t>19</w:t>
      </w:r>
      <w:r>
        <w:rPr>
          <w:rFonts w:hint="eastAsia" w:hAnsi="宋体" w:cs="宋体"/>
        </w:rPr>
        <w:fldChar w:fldCharType="end"/>
      </w:r>
      <w:r>
        <w:rPr>
          <w:rFonts w:hint="eastAsia" w:hAnsi="宋体" w:cs="宋体"/>
        </w:rPr>
        <w:fldChar w:fldCharType="end"/>
      </w:r>
    </w:p>
    <w:p>
      <w:pPr>
        <w:pStyle w:val="25"/>
        <w:tabs>
          <w:tab w:val="right" w:leader="dot" w:pos="9355"/>
          <w:tab w:val="clear" w:pos="9344"/>
        </w:tabs>
        <w:rPr>
          <w:rFonts w:hint="eastAsia" w:hAnsi="宋体" w:cs="宋体"/>
        </w:rPr>
      </w:pPr>
      <w:r>
        <w:fldChar w:fldCharType="begin"/>
      </w:r>
      <w:r>
        <w:instrText xml:space="preserve"> HYPERLINK \l "_Toc28978" </w:instrText>
      </w:r>
      <w:r>
        <w:fldChar w:fldCharType="separate"/>
      </w:r>
      <w:r>
        <w:rPr>
          <w:rFonts w:hint="eastAsia" w:hAnsi="宋体" w:cs="宋体"/>
          <w:kern w:val="0"/>
        </w:rPr>
        <w:t xml:space="preserve">12.2  </w:t>
      </w:r>
      <w:r>
        <w:rPr>
          <w:rFonts w:hint="eastAsia" w:hAnsi="宋体" w:cs="宋体"/>
        </w:rPr>
        <w:t>绩效评价</w:t>
      </w:r>
      <w:r>
        <w:rPr>
          <w:rFonts w:hint="eastAsia" w:hAnsi="宋体" w:cs="宋体"/>
        </w:rPr>
        <w:tab/>
      </w:r>
      <w:r>
        <w:rPr>
          <w:rFonts w:hint="eastAsia" w:hAnsi="宋体" w:cs="宋体"/>
        </w:rPr>
        <w:fldChar w:fldCharType="begin"/>
      </w:r>
      <w:r>
        <w:rPr>
          <w:rFonts w:hint="eastAsia" w:hAnsi="宋体" w:cs="宋体"/>
        </w:rPr>
        <w:instrText xml:space="preserve"> PAGEREF _Toc28978 \h </w:instrText>
      </w:r>
      <w:r>
        <w:rPr>
          <w:rFonts w:hint="eastAsia" w:hAnsi="宋体" w:cs="宋体"/>
        </w:rPr>
        <w:fldChar w:fldCharType="separate"/>
      </w:r>
      <w:r>
        <w:rPr>
          <w:rFonts w:hint="eastAsia" w:hAnsi="宋体" w:cs="宋体"/>
        </w:rPr>
        <w:t>19</w:t>
      </w:r>
      <w:r>
        <w:rPr>
          <w:rFonts w:hint="eastAsia" w:hAnsi="宋体" w:cs="宋体"/>
        </w:rPr>
        <w:fldChar w:fldCharType="end"/>
      </w:r>
      <w:r>
        <w:rPr>
          <w:rFonts w:hint="eastAsia" w:hAnsi="宋体" w:cs="宋体"/>
        </w:rPr>
        <w:fldChar w:fldCharType="end"/>
      </w:r>
    </w:p>
    <w:p>
      <w:pPr>
        <w:pStyle w:val="20"/>
        <w:tabs>
          <w:tab w:val="right" w:leader="dot" w:pos="9355"/>
        </w:tabs>
        <w:rPr>
          <w:rFonts w:hint="eastAsia" w:hAnsi="宋体" w:cs="宋体"/>
        </w:rPr>
      </w:pPr>
      <w:r>
        <w:fldChar w:fldCharType="begin"/>
      </w:r>
      <w:r>
        <w:instrText xml:space="preserve"> HYPERLINK \l "_Toc31118" </w:instrText>
      </w:r>
      <w:r>
        <w:fldChar w:fldCharType="separate"/>
      </w:r>
      <w:r>
        <w:rPr>
          <w:rFonts w:hint="eastAsia" w:hAnsi="宋体" w:cs="宋体"/>
        </w:rPr>
        <w:t>13  持续改进</w:t>
      </w:r>
      <w:r>
        <w:rPr>
          <w:rFonts w:hint="eastAsia" w:hAnsi="宋体" w:cs="宋体"/>
        </w:rPr>
        <w:tab/>
      </w:r>
      <w:r>
        <w:rPr>
          <w:rFonts w:hint="eastAsia" w:hAnsi="宋体" w:cs="宋体"/>
        </w:rPr>
        <w:fldChar w:fldCharType="begin"/>
      </w:r>
      <w:r>
        <w:rPr>
          <w:rFonts w:hint="eastAsia" w:hAnsi="宋体" w:cs="宋体"/>
        </w:rPr>
        <w:instrText xml:space="preserve"> PAGEREF _Toc31118 \h </w:instrText>
      </w:r>
      <w:r>
        <w:rPr>
          <w:rFonts w:hint="eastAsia" w:hAnsi="宋体" w:cs="宋体"/>
        </w:rPr>
        <w:fldChar w:fldCharType="separate"/>
      </w:r>
      <w:r>
        <w:rPr>
          <w:rFonts w:hint="eastAsia" w:hAnsi="宋体" w:cs="宋体"/>
        </w:rPr>
        <w:t>19</w:t>
      </w:r>
      <w:r>
        <w:rPr>
          <w:rFonts w:hint="eastAsia" w:hAnsi="宋体" w:cs="宋体"/>
        </w:rPr>
        <w:fldChar w:fldCharType="end"/>
      </w:r>
      <w:r>
        <w:rPr>
          <w:rFonts w:hint="eastAsia" w:hAnsi="宋体" w:cs="宋体"/>
        </w:rPr>
        <w:fldChar w:fldCharType="end"/>
      </w:r>
    </w:p>
    <w:p>
      <w:pPr>
        <w:pStyle w:val="25"/>
        <w:tabs>
          <w:tab w:val="right" w:leader="dot" w:pos="9355"/>
          <w:tab w:val="clear" w:pos="9344"/>
        </w:tabs>
        <w:rPr>
          <w:rFonts w:hint="eastAsia" w:hAnsi="宋体" w:cs="宋体"/>
        </w:rPr>
      </w:pPr>
      <w:r>
        <w:fldChar w:fldCharType="begin"/>
      </w:r>
      <w:r>
        <w:instrText xml:space="preserve"> HYPERLINK \l "_Toc436" </w:instrText>
      </w:r>
      <w:r>
        <w:fldChar w:fldCharType="separate"/>
      </w:r>
      <w:r>
        <w:rPr>
          <w:rFonts w:hint="eastAsia" w:hAnsi="宋体" w:cs="宋体"/>
          <w:kern w:val="0"/>
        </w:rPr>
        <w:t xml:space="preserve">13.1  </w:t>
      </w:r>
      <w:r>
        <w:rPr>
          <w:rFonts w:hint="eastAsia" w:hAnsi="宋体" w:cs="宋体"/>
        </w:rPr>
        <w:t>事件管理</w:t>
      </w:r>
      <w:r>
        <w:rPr>
          <w:rFonts w:hint="eastAsia" w:hAnsi="宋体" w:cs="宋体"/>
        </w:rPr>
        <w:tab/>
      </w:r>
      <w:r>
        <w:rPr>
          <w:rFonts w:hint="eastAsia" w:hAnsi="宋体" w:cs="宋体"/>
        </w:rPr>
        <w:fldChar w:fldCharType="begin"/>
      </w:r>
      <w:r>
        <w:rPr>
          <w:rFonts w:hint="eastAsia" w:hAnsi="宋体" w:cs="宋体"/>
        </w:rPr>
        <w:instrText xml:space="preserve"> PAGEREF _Toc436 \h </w:instrText>
      </w:r>
      <w:r>
        <w:rPr>
          <w:rFonts w:hint="eastAsia" w:hAnsi="宋体" w:cs="宋体"/>
        </w:rPr>
        <w:fldChar w:fldCharType="separate"/>
      </w:r>
      <w:r>
        <w:rPr>
          <w:rFonts w:hint="eastAsia" w:hAnsi="宋体" w:cs="宋体"/>
        </w:rPr>
        <w:t>19</w:t>
      </w:r>
      <w:r>
        <w:rPr>
          <w:rFonts w:hint="eastAsia" w:hAnsi="宋体" w:cs="宋体"/>
        </w:rPr>
        <w:fldChar w:fldCharType="end"/>
      </w:r>
      <w:r>
        <w:rPr>
          <w:rFonts w:hint="eastAsia" w:hAnsi="宋体" w:cs="宋体"/>
        </w:rPr>
        <w:fldChar w:fldCharType="end"/>
      </w:r>
    </w:p>
    <w:p>
      <w:pPr>
        <w:pStyle w:val="25"/>
        <w:tabs>
          <w:tab w:val="right" w:leader="dot" w:pos="9355"/>
          <w:tab w:val="clear" w:pos="9344"/>
        </w:tabs>
        <w:rPr>
          <w:rFonts w:hint="eastAsia" w:hAnsi="宋体" w:cs="宋体"/>
        </w:rPr>
      </w:pPr>
      <w:r>
        <w:fldChar w:fldCharType="begin"/>
      </w:r>
      <w:r>
        <w:instrText xml:space="preserve"> HYPERLINK \l "_Toc5316" </w:instrText>
      </w:r>
      <w:r>
        <w:fldChar w:fldCharType="separate"/>
      </w:r>
      <w:r>
        <w:rPr>
          <w:rFonts w:hint="eastAsia" w:hAnsi="宋体" w:cs="宋体"/>
          <w:kern w:val="0"/>
        </w:rPr>
        <w:t xml:space="preserve">13.2  </w:t>
      </w:r>
      <w:r>
        <w:rPr>
          <w:rFonts w:hint="eastAsia" w:hAnsi="宋体" w:cs="宋体"/>
        </w:rPr>
        <w:t>评审改进</w:t>
      </w:r>
      <w:r>
        <w:rPr>
          <w:rFonts w:hint="eastAsia" w:hAnsi="宋体" w:cs="宋体"/>
        </w:rPr>
        <w:tab/>
      </w:r>
      <w:r>
        <w:rPr>
          <w:rFonts w:hint="eastAsia" w:hAnsi="宋体" w:cs="宋体"/>
        </w:rPr>
        <w:fldChar w:fldCharType="begin"/>
      </w:r>
      <w:r>
        <w:rPr>
          <w:rFonts w:hint="eastAsia" w:hAnsi="宋体" w:cs="宋体"/>
        </w:rPr>
        <w:instrText xml:space="preserve"> PAGEREF _Toc5316 \h </w:instrText>
      </w:r>
      <w:r>
        <w:rPr>
          <w:rFonts w:hint="eastAsia" w:hAnsi="宋体" w:cs="宋体"/>
        </w:rPr>
        <w:fldChar w:fldCharType="separate"/>
      </w:r>
      <w:r>
        <w:rPr>
          <w:rFonts w:hint="eastAsia" w:hAnsi="宋体" w:cs="宋体"/>
        </w:rPr>
        <w:t>20</w:t>
      </w:r>
      <w:r>
        <w:rPr>
          <w:rFonts w:hint="eastAsia" w:hAnsi="宋体" w:cs="宋体"/>
        </w:rPr>
        <w:fldChar w:fldCharType="end"/>
      </w:r>
      <w:r>
        <w:rPr>
          <w:rFonts w:hint="eastAsia" w:hAnsi="宋体" w:cs="宋体"/>
        </w:rPr>
        <w:fldChar w:fldCharType="end"/>
      </w:r>
    </w:p>
    <w:p>
      <w:pPr>
        <w:pStyle w:val="181"/>
        <w:spacing w:before="0" w:after="0" w:afterLines="0"/>
        <w:rPr>
          <w:rFonts w:hint="eastAsia"/>
        </w:rPr>
        <w:sectPr>
          <w:headerReference r:id="rId9" w:type="default"/>
          <w:footerReference r:id="rId10" w:type="default"/>
          <w:pgSz w:w="11906" w:h="16838"/>
          <w:pgMar w:top="1928" w:right="1134" w:bottom="1134" w:left="1134" w:header="1418" w:footer="1134" w:gutter="283"/>
          <w:pgNumType w:fmt="upperRoman" w:start="1"/>
          <w:cols w:space="720" w:num="1"/>
          <w:formProt w:val="0"/>
          <w:docGrid w:type="lines" w:linePitch="316" w:charSpace="0"/>
        </w:sectPr>
      </w:pPr>
      <w:r>
        <w:rPr>
          <w:rFonts w:hint="eastAsia" w:ascii="宋体" w:hAnsi="宋体" w:eastAsia="宋体" w:cs="宋体"/>
        </w:rPr>
        <w:fldChar w:fldCharType="end"/>
      </w:r>
    </w:p>
    <w:bookmarkEnd w:id="18"/>
    <w:p>
      <w:pPr>
        <w:pStyle w:val="70"/>
        <w:spacing w:after="474"/>
        <w:rPr>
          <w:rFonts w:hint="eastAsia"/>
        </w:rPr>
      </w:pPr>
      <w:bookmarkStart w:id="25" w:name="_Toc25825"/>
      <w:bookmarkStart w:id="26" w:name="BookMark2"/>
      <w:r>
        <w:rPr>
          <w:rFonts w:hint="eastAsia"/>
          <w:spacing w:val="320"/>
        </w:rPr>
        <w:t>前</w:t>
      </w:r>
      <w:r>
        <w:rPr>
          <w:rFonts w:hint="eastAsia"/>
        </w:rPr>
        <w:t>言</w:t>
      </w:r>
      <w:bookmarkEnd w:id="19"/>
      <w:bookmarkEnd w:id="20"/>
      <w:bookmarkEnd w:id="21"/>
      <w:bookmarkEnd w:id="25"/>
    </w:p>
    <w:p>
      <w:pPr>
        <w:pStyle w:val="55"/>
        <w:ind w:firstLine="420"/>
      </w:pPr>
      <w:r>
        <w:t>本文件按照GB/T 1.1-2020《标准化工作导则 第1部分：标准化文件的结构和起草规则》的规定起草。</w:t>
      </w:r>
    </w:p>
    <w:p>
      <w:pPr>
        <w:pStyle w:val="55"/>
        <w:ind w:firstLine="420"/>
      </w:pPr>
      <w:r>
        <w:t>本文件代替GB/T 33000-2016《企业安全生产标准化基本规范》，与GB/T 33000-2016相比，除结构调整和编辑性改动外，主要技术变化如下：</w:t>
      </w:r>
    </w:p>
    <w:p>
      <w:pPr>
        <w:pStyle w:val="137"/>
      </w:pPr>
      <w:r>
        <w:t>更改了适用范围（见第1章，2016年版的第1章）；</w:t>
      </w:r>
    </w:p>
    <w:p>
      <w:pPr>
        <w:pStyle w:val="137"/>
      </w:pPr>
      <w:r>
        <w:t>删除了</w:t>
      </w:r>
      <w:r>
        <w:rPr>
          <w:rFonts w:hint="eastAsia"/>
        </w:rPr>
        <w:t>8</w:t>
      </w:r>
      <w:r>
        <w:t>个术语和定义：企业安全生产标准化、相关方、承包商、供应商、变更管理、安全风险管理、工作场所、作业环境（见2016年版的3.1、3.4、3.5、3.6、3.7、3.10、3.11、3.12）；</w:t>
      </w:r>
    </w:p>
    <w:p>
      <w:pPr>
        <w:pStyle w:val="137"/>
      </w:pPr>
      <w:r>
        <w:t>更改了</w:t>
      </w:r>
      <w:r>
        <w:rPr>
          <w:rFonts w:hint="eastAsia"/>
        </w:rPr>
        <w:t>5</w:t>
      </w:r>
      <w:r>
        <w:t>个术语和定义：安全生产绩效、企业主要负责人、安全风险、安全风险评估、持续改进（见3.2、3.3、3.</w:t>
      </w:r>
      <w:r>
        <w:rPr>
          <w:rFonts w:hint="eastAsia"/>
        </w:rPr>
        <w:t>6、3.7、3.11</w:t>
      </w:r>
      <w:r>
        <w:t>，2016年版的3.2、3.3、</w:t>
      </w:r>
      <w:r>
        <w:rPr>
          <w:rFonts w:hint="eastAsia"/>
        </w:rPr>
        <w:t>3.8、3.9、</w:t>
      </w:r>
      <w:r>
        <w:t>3.13）；</w:t>
      </w:r>
    </w:p>
    <w:p>
      <w:pPr>
        <w:pStyle w:val="137"/>
      </w:pPr>
      <w:r>
        <w:t>增加了</w:t>
      </w:r>
      <w:r>
        <w:rPr>
          <w:rFonts w:hint="eastAsia"/>
        </w:rPr>
        <w:t>7</w:t>
      </w:r>
      <w:r>
        <w:t>个术语和定义：企业安全生产标准化管理体系、</w:t>
      </w:r>
      <w:r>
        <w:rPr>
          <w:rFonts w:hint="eastAsia"/>
        </w:rPr>
        <w:t>业务部门、</w:t>
      </w:r>
      <w:r>
        <w:t>合规义务、行为观察、不安全行为、异常处置、事件（见3.1、3.4、3.5、3.</w:t>
      </w:r>
      <w:r>
        <w:rPr>
          <w:rFonts w:hint="eastAsia"/>
        </w:rPr>
        <w:t>8</w:t>
      </w:r>
      <w:r>
        <w:t>、3.</w:t>
      </w:r>
      <w:r>
        <w:rPr>
          <w:rFonts w:hint="eastAsia"/>
        </w:rPr>
        <w:t>9</w:t>
      </w:r>
      <w:r>
        <w:t>、3.</w:t>
      </w:r>
      <w:r>
        <w:rPr>
          <w:rFonts w:hint="eastAsia"/>
        </w:rPr>
        <w:t>10、3.12</w:t>
      </w:r>
      <w:r>
        <w:t>）；</w:t>
      </w:r>
    </w:p>
    <w:p>
      <w:pPr>
        <w:pStyle w:val="137"/>
      </w:pPr>
      <w:r>
        <w:t>增加了领导作用一章（见第4章）；</w:t>
      </w:r>
    </w:p>
    <w:p>
      <w:pPr>
        <w:pStyle w:val="137"/>
      </w:pPr>
      <w:r>
        <w:t>更改了组织保障中安全生产委员会、安全生产管理机构</w:t>
      </w:r>
      <w:r>
        <w:rPr>
          <w:rFonts w:hint="eastAsia"/>
        </w:rPr>
        <w:t>和班组</w:t>
      </w:r>
      <w:r>
        <w:t>的要求（见5.1.1、5.1.2</w:t>
      </w:r>
      <w:r>
        <w:rPr>
          <w:rFonts w:hint="eastAsia"/>
        </w:rPr>
        <w:t>、5.1.4</w:t>
      </w:r>
      <w:r>
        <w:t>，2016年版的5.1.2</w:t>
      </w:r>
      <w:r>
        <w:rPr>
          <w:rFonts w:hint="eastAsia"/>
        </w:rPr>
        <w:t>、5.4.2.3</w:t>
      </w:r>
      <w:r>
        <w:t>），增加了业务部门的要求（见5.1.3）；</w:t>
      </w:r>
    </w:p>
    <w:p>
      <w:pPr>
        <w:pStyle w:val="137"/>
      </w:pPr>
      <w:r>
        <w:t>增加了责任保障和科技保障（见5.2、5.5）；</w:t>
      </w:r>
    </w:p>
    <w:p>
      <w:pPr>
        <w:pStyle w:val="137"/>
      </w:pPr>
      <w:r>
        <w:t>更改了制度保障、资金保障和数智保障的要求（见5.3、5.4、5.6，2016年版的5.2、5.1.4、5.1.6）；</w:t>
      </w:r>
    </w:p>
    <w:p>
      <w:pPr>
        <w:pStyle w:val="137"/>
      </w:pPr>
      <w:r>
        <w:t>增加了理念、合规管理和信息沟通（见6.1、6.3、6.5），更改了目标和全员参与的要求（见6.2、6.4，2016年版的5.1.1、5.1.3）；</w:t>
      </w:r>
    </w:p>
    <w:p>
      <w:pPr>
        <w:pStyle w:val="137"/>
      </w:pPr>
      <w:r>
        <w:t>增加了安全风险分级管控的一般要求和风险控制措施效果评价（见7.1、7.4.4）；</w:t>
      </w:r>
    </w:p>
    <w:p>
      <w:pPr>
        <w:pStyle w:val="137"/>
      </w:pPr>
      <w:r>
        <w:t>更改了</w:t>
      </w:r>
      <w:r>
        <w:rPr>
          <w:rFonts w:hint="eastAsia"/>
        </w:rPr>
        <w:t>危险源辨识</w:t>
      </w:r>
      <w:r>
        <w:t>、风险评估、风险控制措施和风险</w:t>
      </w:r>
      <w:r>
        <w:rPr>
          <w:rFonts w:hint="eastAsia"/>
        </w:rPr>
        <w:t>告知</w:t>
      </w:r>
      <w:r>
        <w:t>的要求（见7.2、7.3、7.4.1、7.4.2，2016版的5.5.1.4、5.5.1.2、5.5.1.3）；</w:t>
      </w:r>
    </w:p>
    <w:p>
      <w:pPr>
        <w:pStyle w:val="137"/>
      </w:pPr>
      <w:r>
        <w:t>增加了</w:t>
      </w:r>
      <w:r>
        <w:rPr>
          <w:rFonts w:hint="eastAsia"/>
        </w:rPr>
        <w:t>隐患</w:t>
      </w:r>
      <w:r>
        <w:t>排查治理的一般要求（见8.1），更改了</w:t>
      </w:r>
      <w:r>
        <w:rPr>
          <w:rFonts w:hint="eastAsia"/>
        </w:rPr>
        <w:t>隐患</w:t>
      </w:r>
      <w:r>
        <w:t>排查的相关要求，增加了</w:t>
      </w:r>
      <w:r>
        <w:rPr>
          <w:rFonts w:hint="eastAsia"/>
        </w:rPr>
        <w:t>隐患</w:t>
      </w:r>
      <w:r>
        <w:t>内部报告及奖励的要求（见8.2，2016版的5.5.3.1）；</w:t>
      </w:r>
    </w:p>
    <w:p>
      <w:pPr>
        <w:pStyle w:val="137"/>
      </w:pPr>
      <w:r>
        <w:t>增加了人员管理的准入和安全资格（见9.1，9.2），更改了安全培训和行为管控的要求（见9.3、9.4，2016版的5.3.1、5.4.2.2）；</w:t>
      </w:r>
    </w:p>
    <w:p>
      <w:pPr>
        <w:pStyle w:val="137"/>
      </w:pPr>
      <w:r>
        <w:t>更改了作业</w:t>
      </w:r>
      <w:r>
        <w:rPr>
          <w:rFonts w:hint="eastAsia"/>
        </w:rPr>
        <w:t>环境与条件</w:t>
      </w:r>
      <w:r>
        <w:t>、设备设施、变更管理和相关方管理的要求（见10.1、10.2、10.5、10.6，2016年版的5.4.2.1、5.4.1、5.5.1.4、5.4.2.4），更改了职业健康和警示标志的要求（见10.1，2016年版的5.4.3、5.4.4）；</w:t>
      </w:r>
    </w:p>
    <w:p>
      <w:pPr>
        <w:pStyle w:val="137"/>
      </w:pPr>
      <w:r>
        <w:t>增加了危险作业、异常处置（见10.3、10.4）；</w:t>
      </w:r>
    </w:p>
    <w:p>
      <w:pPr>
        <w:pStyle w:val="137"/>
      </w:pPr>
      <w:r>
        <w:rPr>
          <w:rFonts w:hint="eastAsia"/>
        </w:rPr>
        <w:t>增加了应急管理的一般要求、应急恢复（见11.1、11.4），更改了应急准备、应急处置与救援的要求（见11.2、11.3，2016年版的5.6.1、5.6.2）；</w:t>
      </w:r>
    </w:p>
    <w:p>
      <w:pPr>
        <w:pStyle w:val="137"/>
      </w:pPr>
      <w:r>
        <w:rPr>
          <w:rFonts w:hint="eastAsia"/>
        </w:rPr>
        <w:t>增加了安全评价（见12）、安全检查（见12.1），更改了绩效评价的要求（见12.2，2016年版5.8.1）；</w:t>
      </w:r>
    </w:p>
    <w:p>
      <w:pPr>
        <w:pStyle w:val="137"/>
      </w:pPr>
      <w:r>
        <w:rPr>
          <w:rFonts w:hint="eastAsia"/>
        </w:rPr>
        <w:t>更改了事件管理和评审改进的要求（见13.1、13.2，2016年版的5.7、5.8.2），增加了未遂事故的要求（见13.1.2）。</w:t>
      </w:r>
    </w:p>
    <w:p>
      <w:pPr>
        <w:pStyle w:val="55"/>
        <w:ind w:firstLine="420"/>
      </w:pPr>
      <w:r>
        <w:t>请注意本文件的某些内容可能涉及专利。本文件的发布机构不承担识别专利的责任。</w:t>
      </w:r>
    </w:p>
    <w:p>
      <w:pPr>
        <w:pStyle w:val="55"/>
        <w:ind w:firstLine="420"/>
      </w:pPr>
      <w:r>
        <w:t>本文件由中华人民共和国应急管理部提出。</w:t>
      </w:r>
    </w:p>
    <w:p>
      <w:pPr>
        <w:pStyle w:val="55"/>
        <w:ind w:firstLine="420"/>
      </w:pPr>
      <w:r>
        <w:t>本文件由全国安全生产标准化技术委员会（SAC/TC288）归口。</w:t>
      </w:r>
    </w:p>
    <w:p>
      <w:pPr>
        <w:pStyle w:val="55"/>
        <w:ind w:firstLine="420"/>
      </w:pPr>
      <w:r>
        <w:t>本文件起草单位：</w:t>
      </w:r>
    </w:p>
    <w:p>
      <w:pPr>
        <w:pStyle w:val="55"/>
        <w:ind w:firstLine="420"/>
      </w:pPr>
      <w:r>
        <w:t>本文件主要起草人：</w:t>
      </w:r>
    </w:p>
    <w:p>
      <w:pPr>
        <w:pStyle w:val="55"/>
        <w:ind w:firstLine="420"/>
      </w:pPr>
      <w:r>
        <w:t>本文件及其所代替文件的历次版本发布情况为：</w:t>
      </w:r>
    </w:p>
    <w:p>
      <w:pPr>
        <w:pStyle w:val="55"/>
        <w:ind w:firstLine="420"/>
      </w:pPr>
      <w:r>
        <w:t>——2016年首次发布为GB/T 33000-2016；</w:t>
      </w:r>
    </w:p>
    <w:p>
      <w:pPr>
        <w:pStyle w:val="55"/>
        <w:ind w:firstLine="420"/>
        <w:sectPr>
          <w:pgSz w:w="11906" w:h="16838"/>
          <w:pgMar w:top="1928" w:right="1134" w:bottom="1134" w:left="1134" w:header="1418" w:footer="1134" w:gutter="283"/>
          <w:pgNumType w:fmt="upperRoman"/>
          <w:cols w:space="720" w:num="1"/>
          <w:formProt w:val="0"/>
          <w:docGrid w:type="lines" w:linePitch="316" w:charSpace="0"/>
        </w:sectPr>
      </w:pPr>
      <w:r>
        <w:t>——本次为第一次修订。</w:t>
      </w:r>
    </w:p>
    <w:bookmarkEnd w:id="26"/>
    <w:p>
      <w:pPr>
        <w:pStyle w:val="70"/>
        <w:spacing w:after="474"/>
        <w:rPr>
          <w:rFonts w:hint="eastAsia"/>
        </w:rPr>
      </w:pPr>
      <w:bookmarkStart w:id="27" w:name="_Toc5754"/>
      <w:bookmarkStart w:id="28" w:name="_Toc186118200"/>
      <w:bookmarkStart w:id="29" w:name="_Toc16461"/>
      <w:bookmarkStart w:id="30" w:name="_Toc12746"/>
      <w:bookmarkStart w:id="31" w:name="BookMark3"/>
      <w:r>
        <w:rPr>
          <w:rFonts w:hint="eastAsia"/>
          <w:spacing w:val="320"/>
        </w:rPr>
        <w:t>引</w:t>
      </w:r>
      <w:r>
        <w:rPr>
          <w:rFonts w:hint="eastAsia"/>
        </w:rPr>
        <w:t>言</w:t>
      </w:r>
      <w:bookmarkEnd w:id="22"/>
      <w:bookmarkEnd w:id="23"/>
      <w:bookmarkEnd w:id="27"/>
      <w:bookmarkEnd w:id="28"/>
      <w:bookmarkEnd w:id="29"/>
      <w:bookmarkEnd w:id="30"/>
    </w:p>
    <w:p>
      <w:pPr>
        <w:pStyle w:val="229"/>
        <w:rPr>
          <w:rFonts w:hint="eastAsia" w:ascii="黑体" w:hAnsi="黑体" w:eastAsia="黑体" w:cs="黑体"/>
        </w:rPr>
      </w:pPr>
      <w:bookmarkStart w:id="32" w:name="_Toc28731"/>
      <w:r>
        <w:rPr>
          <w:rFonts w:hint="eastAsia" w:ascii="黑体" w:hAnsi="黑体" w:eastAsia="黑体" w:cs="黑体"/>
        </w:rPr>
        <w:t>背景</w:t>
      </w:r>
      <w:bookmarkEnd w:id="32"/>
    </w:p>
    <w:p>
      <w:pPr>
        <w:pStyle w:val="55"/>
        <w:ind w:firstLine="420"/>
      </w:pPr>
      <w:r>
        <w:rPr>
          <w:rFonts w:hint="eastAsia"/>
        </w:rPr>
        <w:t>安全生产是关系人民群众生命财产安全的大事，是经济社会协调健康发展的标志，是党和政府对人民利益高度负责的要求。国内外经验表明，拥有一套完整、行之有效的安全生产管理体系是企业安全良性发展的基石和助推器。在全面推进中国式现代化的大背景下，企业作为安全生产的责任主体，建立中国特色的安全生产管理体系，既是贯彻落实党中央、国务院关于安全生产决策部署的重要举措，也是引导推动企业提高安全生产自主性、落实安全生产主体责任的有效途径。</w:t>
      </w:r>
    </w:p>
    <w:p>
      <w:pPr>
        <w:pStyle w:val="229"/>
        <w:rPr>
          <w:rFonts w:hint="eastAsia" w:ascii="黑体" w:hAnsi="黑体" w:eastAsia="黑体" w:cs="黑体"/>
        </w:rPr>
      </w:pPr>
      <w:bookmarkStart w:id="33" w:name="_Toc1047"/>
      <w:r>
        <w:rPr>
          <w:rFonts w:hint="eastAsia" w:ascii="黑体" w:hAnsi="黑体" w:eastAsia="黑体" w:cs="黑体"/>
        </w:rPr>
        <w:t>目的</w:t>
      </w:r>
      <w:bookmarkEnd w:id="33"/>
    </w:p>
    <w:p>
      <w:pPr>
        <w:pStyle w:val="55"/>
        <w:ind w:firstLine="420"/>
      </w:pPr>
      <w:r>
        <w:rPr>
          <w:rFonts w:hint="eastAsia"/>
        </w:rPr>
        <w:t>本文件旨在为我国各行业领域大中型企业安全生产工作提供可资借鉴的、系统化的基本管理框架，引导企业以安全生产标准化管理体系建设为抓手，健全完善和规范统一安全生产工作，推动安全生产主体责任落实，持续提高安全生产绩效，以高水平安全保障企业高质量发展。</w:t>
      </w:r>
    </w:p>
    <w:p>
      <w:pPr>
        <w:pStyle w:val="229"/>
        <w:rPr>
          <w:rFonts w:hint="eastAsia" w:ascii="黑体" w:hAnsi="黑体" w:eastAsia="黑体" w:cs="黑体"/>
        </w:rPr>
      </w:pPr>
      <w:bookmarkStart w:id="34" w:name="_Toc32058"/>
      <w:r>
        <w:rPr>
          <w:rFonts w:hint="eastAsia" w:ascii="黑体" w:hAnsi="黑体" w:eastAsia="黑体" w:cs="黑体"/>
        </w:rPr>
        <w:t>原则</w:t>
      </w:r>
      <w:bookmarkEnd w:id="34"/>
    </w:p>
    <w:p>
      <w:pPr>
        <w:pStyle w:val="55"/>
        <w:ind w:firstLine="420"/>
      </w:pPr>
      <w:r>
        <w:rPr>
          <w:rFonts w:hint="eastAsia"/>
        </w:rPr>
        <w:t>本文件以</w:t>
      </w:r>
      <w:bookmarkStart w:id="35" w:name="hmcheck_bf23d30b67e8436e8d98b32f618ea098"/>
      <w:r>
        <w:rPr>
          <w:rFonts w:hint="eastAsia"/>
        </w:rPr>
        <w:t>习近平总书记关于安全生</w:t>
      </w:r>
      <w:r>
        <w:rPr>
          <w:rFonts w:hint="eastAsia"/>
          <w:shd w:val="clear" w:color="auto" w:fill="FFFFFF"/>
        </w:rPr>
        <w:t>产</w:t>
      </w:r>
      <w:r>
        <w:rPr>
          <w:rFonts w:hint="eastAsia"/>
        </w:rPr>
        <w:t>重要论述</w:t>
      </w:r>
      <w:bookmarkEnd w:id="35"/>
      <w:r>
        <w:rPr>
          <w:rFonts w:hint="eastAsia"/>
        </w:rPr>
        <w:t>和重要指示批示精神为根本遵循，贯彻安全生产相关政策法规，在深入挖掘和提炼我国安全生产管理实践经验的基础上，充分借鉴国内外安全生产管理体系构建理论方法和实践经验，建立具有中国特色的安全生产标准化管理体系。</w:t>
      </w:r>
    </w:p>
    <w:p>
      <w:pPr>
        <w:pStyle w:val="55"/>
        <w:ind w:firstLine="420"/>
      </w:pPr>
      <w:r>
        <w:rPr>
          <w:rFonts w:hint="eastAsia"/>
        </w:rPr>
        <w:t>——坚持合法合规。贯彻落实党中央、国务院关于安全生产的决策部署，以现行安全生产法律法规和强制性国家标准为根本遵循，保证企业安全生产工作满足法律法规、标准规范要求。</w:t>
      </w:r>
    </w:p>
    <w:p>
      <w:pPr>
        <w:pStyle w:val="55"/>
        <w:ind w:firstLine="420"/>
      </w:pPr>
      <w:r>
        <w:rPr>
          <w:rFonts w:hint="eastAsia"/>
        </w:rPr>
        <w:t>——坚持集成融合。借鉴国内外安全生产管理体系构建思路和要素，广泛吸纳国内大中型企业安全生产管理实践经验和成熟做法，兼具中国特色和国际通用性。</w:t>
      </w:r>
    </w:p>
    <w:p>
      <w:pPr>
        <w:pStyle w:val="55"/>
        <w:ind w:firstLine="420"/>
      </w:pPr>
      <w:r>
        <w:rPr>
          <w:rFonts w:hint="eastAsia"/>
        </w:rPr>
        <w:t>——坚持传承创新。在传承固化我国安全生产标准化工作经验做法的基础上，聚焦安全生产管理体系顶层设计，创新安全生产管理理念方法，推动企业安全生产管理向科学化、标准化、规范化纵深发展。</w:t>
      </w:r>
    </w:p>
    <w:p>
      <w:pPr>
        <w:pStyle w:val="55"/>
        <w:ind w:firstLine="420"/>
      </w:pPr>
      <w:r>
        <w:rPr>
          <w:rFonts w:hint="eastAsia"/>
        </w:rPr>
        <w:t>——坚持落地实用。紧密围绕企业安全生产管理现实的迫切需求，凸显管理体系的引领性、实用性导向，将体系要求去繁就简、简化实用，确保企业安全生产标准化管理体系的适用性和可操作性。</w:t>
      </w:r>
    </w:p>
    <w:p>
      <w:pPr>
        <w:pStyle w:val="229"/>
        <w:rPr>
          <w:rFonts w:hint="eastAsia" w:ascii="黑体" w:hAnsi="黑体" w:eastAsia="黑体" w:cs="黑体"/>
        </w:rPr>
      </w:pPr>
      <w:bookmarkStart w:id="36" w:name="_Toc31394"/>
      <w:r>
        <w:rPr>
          <w:rFonts w:hint="eastAsia" w:ascii="黑体" w:hAnsi="黑体" w:eastAsia="黑体" w:cs="黑体"/>
        </w:rPr>
        <w:t>安全理论基础</w:t>
      </w:r>
      <w:bookmarkEnd w:id="36"/>
    </w:p>
    <w:p>
      <w:pPr>
        <w:pStyle w:val="55"/>
        <w:ind w:firstLine="420"/>
      </w:pPr>
      <w:r>
        <w:rPr>
          <w:rFonts w:hint="eastAsia"/>
        </w:rPr>
        <w:t>本文件遵循事故孕育发生发展演化的基本规律，聚焦</w:t>
      </w:r>
      <w:r>
        <w:rPr>
          <w:rFonts w:hint="eastAsia"/>
          <w:shd w:val="clear" w:color="auto" w:fill="FFFFFF"/>
        </w:rPr>
        <w:t>防范化解安全风险</w:t>
      </w:r>
      <w:r>
        <w:rPr>
          <w:rFonts w:hint="eastAsia"/>
        </w:rPr>
        <w:t>，构建了“安全风险管控</w:t>
      </w:r>
      <w:r>
        <w:rPr>
          <w:rFonts w:hint="eastAsia"/>
          <w:shd w:val="clear" w:color="auto" w:fill="FFFFFF"/>
        </w:rPr>
        <w:t>”“</w:t>
      </w:r>
      <w:r>
        <w:rPr>
          <w:rFonts w:hint="eastAsia"/>
        </w:rPr>
        <w:t>隐患排查治理</w:t>
      </w:r>
      <w:r>
        <w:rPr>
          <w:rFonts w:hint="eastAsia"/>
          <w:shd w:val="clear" w:color="auto" w:fill="FFFFFF"/>
        </w:rPr>
        <w:t>”“</w:t>
      </w:r>
      <w:r>
        <w:rPr>
          <w:rFonts w:hint="eastAsia"/>
        </w:rPr>
        <w:t>应急处置与救援”三道防线（如图1所示），把安全风险管控挺在隐患前面，把隐患排查治理挺在事故前面，扎实构建应急处置与救援最后一道防线，切实推动企业安全生产管理模式向事前预防转型。</w:t>
      </w:r>
    </w:p>
    <w:p>
      <w:pPr>
        <w:pStyle w:val="148"/>
        <w:numPr>
          <w:ilvl w:val="0"/>
          <w:numId w:val="0"/>
        </w:numPr>
        <w:spacing w:before="158" w:after="158"/>
      </w:pPr>
      <w:r>
        <w:drawing>
          <wp:inline distT="0" distB="0" distL="114300" distR="114300">
            <wp:extent cx="5770880" cy="1546860"/>
            <wp:effectExtent l="0" t="0" r="0" b="0"/>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19"/>
                    <a:srcRect t="11257" r="2688"/>
                    <a:stretch>
                      <a:fillRect/>
                    </a:stretch>
                  </pic:blipFill>
                  <pic:spPr>
                    <a:xfrm>
                      <a:off x="0" y="0"/>
                      <a:ext cx="5770880" cy="1546860"/>
                    </a:xfrm>
                    <a:prstGeom prst="rect">
                      <a:avLst/>
                    </a:prstGeom>
                    <a:noFill/>
                    <a:ln>
                      <a:noFill/>
                    </a:ln>
                  </pic:spPr>
                </pic:pic>
              </a:graphicData>
            </a:graphic>
          </wp:inline>
        </w:drawing>
      </w:r>
    </w:p>
    <w:p>
      <w:pPr>
        <w:pStyle w:val="148"/>
        <w:spacing w:before="158" w:after="158"/>
      </w:pPr>
      <w:r>
        <w:t>安全风险</w:t>
      </w:r>
      <w:r>
        <w:rPr>
          <w:rFonts w:hint="eastAsia"/>
        </w:rPr>
        <w:t>系统防控“三道防线”示意图</w:t>
      </w:r>
    </w:p>
    <w:p>
      <w:pPr>
        <w:pStyle w:val="229"/>
        <w:rPr>
          <w:rFonts w:hint="eastAsia" w:ascii="黑体" w:hAnsi="黑体" w:eastAsia="黑体" w:cs="黑体"/>
        </w:rPr>
      </w:pPr>
      <w:bookmarkStart w:id="37" w:name="_Toc29479"/>
      <w:r>
        <w:rPr>
          <w:rFonts w:hint="eastAsia" w:ascii="黑体" w:hAnsi="黑体" w:eastAsia="黑体" w:cs="黑体"/>
        </w:rPr>
        <w:t>运行模式</w:t>
      </w:r>
      <w:bookmarkEnd w:id="37"/>
    </w:p>
    <w:p>
      <w:pPr>
        <w:pStyle w:val="55"/>
        <w:ind w:firstLine="420"/>
      </w:pPr>
      <w:r>
        <w:rPr>
          <w:rFonts w:hint="eastAsia"/>
        </w:rPr>
        <w:t>本文件采用</w:t>
      </w:r>
      <w:r>
        <w:t>LS-PDCA</w:t>
      </w:r>
      <w:r>
        <w:rPr>
          <w:rFonts w:hint="eastAsia"/>
        </w:rPr>
        <w:t>（领导</w:t>
      </w:r>
      <w:r>
        <w:rPr>
          <w:shd w:val="clear" w:color="auto" w:fill="FFFFFF"/>
        </w:rPr>
        <w:t>-</w:t>
      </w:r>
      <w:r>
        <w:rPr>
          <w:rFonts w:hint="eastAsia"/>
        </w:rPr>
        <w:t>支持</w:t>
      </w:r>
      <w:r>
        <w:t>-</w:t>
      </w:r>
      <w:r>
        <w:rPr>
          <w:rFonts w:hint="eastAsia"/>
        </w:rPr>
        <w:t>策划</w:t>
      </w:r>
      <w:r>
        <w:t>-</w:t>
      </w:r>
      <w:r>
        <w:rPr>
          <w:rFonts w:hint="eastAsia"/>
        </w:rPr>
        <w:t>实施</w:t>
      </w:r>
      <w:r>
        <w:t>-</w:t>
      </w:r>
      <w:r>
        <w:rPr>
          <w:rFonts w:hint="eastAsia"/>
        </w:rPr>
        <w:t>检查</w:t>
      </w:r>
      <w:r>
        <w:t>-</w:t>
      </w:r>
      <w:r>
        <w:rPr>
          <w:rFonts w:hint="eastAsia"/>
        </w:rPr>
        <w:t>改进）的运行模式（如图</w:t>
      </w:r>
      <w:r>
        <w:t>2</w:t>
      </w:r>
      <w:r>
        <w:rPr>
          <w:rFonts w:hint="eastAsia"/>
        </w:rPr>
        <w:t>所示），强调充分发挥各级领导的关键作用（</w:t>
      </w:r>
      <w:r>
        <w:t>L</w:t>
      </w:r>
      <w:r>
        <w:rPr>
          <w:rFonts w:hint="eastAsia"/>
        </w:rPr>
        <w:t>），强化全过程全方位的支持（</w:t>
      </w:r>
      <w:r>
        <w:t>S</w:t>
      </w:r>
      <w:r>
        <w:rPr>
          <w:rFonts w:hint="eastAsia"/>
        </w:rPr>
        <w:t>），丰富和发展</w:t>
      </w:r>
      <w:r>
        <w:t>PDCA</w:t>
      </w:r>
      <w:r>
        <w:rPr>
          <w:rFonts w:hint="eastAsia"/>
        </w:rPr>
        <w:t>循环管理过程及其内涵，促进核心要素之间的相互衔接、有机融合，引领企业安全生产标准化管理体系现代化。</w:t>
      </w:r>
    </w:p>
    <w:p>
      <w:pPr>
        <w:pStyle w:val="55"/>
        <w:ind w:firstLine="420"/>
      </w:pPr>
      <w:r>
        <w:rPr>
          <w:rFonts w:hint="eastAsia"/>
        </w:rPr>
        <w:t>——领导</w:t>
      </w:r>
      <w:r>
        <w:t>L</w:t>
      </w:r>
      <w:r>
        <w:rPr>
          <w:rFonts w:hint="eastAsia"/>
        </w:rPr>
        <w:t>（</w:t>
      </w:r>
      <w:r>
        <w:t>Lead</w:t>
      </w:r>
      <w:r>
        <w:rPr>
          <w:rFonts w:hint="eastAsia"/>
        </w:rPr>
        <w:t>）：为建立、实施、保持和持续改进安全生产标准化管理体系提供强有力的领导力，发挥表率作用，树立良好的榜样，引领全员参与安全生产管理活动。</w:t>
      </w:r>
    </w:p>
    <w:p>
      <w:pPr>
        <w:pStyle w:val="55"/>
        <w:ind w:firstLine="420"/>
      </w:pPr>
      <w:r>
        <w:rPr>
          <w:rFonts w:hint="eastAsia"/>
        </w:rPr>
        <w:t>——支持</w:t>
      </w:r>
      <w:r>
        <w:t>S</w:t>
      </w:r>
      <w:r>
        <w:rPr>
          <w:rFonts w:hint="eastAsia"/>
        </w:rPr>
        <w:t>（</w:t>
      </w:r>
      <w:r>
        <w:t>Support</w:t>
      </w:r>
      <w:r>
        <w:rPr>
          <w:rFonts w:hint="eastAsia"/>
        </w:rPr>
        <w:t>）：为建立、实施、保持和持续改进安全生产标准化管理体系提供全过程、全方位的支撑和资源。</w:t>
      </w:r>
    </w:p>
    <w:p>
      <w:pPr>
        <w:pStyle w:val="55"/>
        <w:ind w:firstLine="420"/>
      </w:pPr>
      <w:r>
        <w:rPr>
          <w:rFonts w:hint="eastAsia"/>
        </w:rPr>
        <w:t>——策划</w:t>
      </w:r>
      <w:r>
        <w:t>P</w:t>
      </w:r>
      <w:r>
        <w:rPr>
          <w:rFonts w:hint="eastAsia"/>
        </w:rPr>
        <w:t>（</w:t>
      </w:r>
      <w:r>
        <w:t>Plan</w:t>
      </w:r>
      <w:r>
        <w:rPr>
          <w:rFonts w:hint="eastAsia"/>
        </w:rPr>
        <w:t>）：建立安全生产理念和目标，明确安全生产工作的依据和过程，以实现安全生产标准化管理体系所期望的结果。</w:t>
      </w:r>
    </w:p>
    <w:p>
      <w:pPr>
        <w:pStyle w:val="55"/>
        <w:ind w:firstLine="420"/>
      </w:pPr>
      <w:r>
        <w:rPr>
          <w:rFonts w:hint="eastAsia"/>
        </w:rPr>
        <w:t>——实施</w:t>
      </w:r>
      <w:r>
        <w:t>D</w:t>
      </w:r>
      <w:r>
        <w:rPr>
          <w:rFonts w:hint="eastAsia"/>
        </w:rPr>
        <w:t>（</w:t>
      </w:r>
      <w:r>
        <w:t>Do</w:t>
      </w:r>
      <w:r>
        <w:rPr>
          <w:rFonts w:hint="eastAsia"/>
        </w:rPr>
        <w:t>）：落实规定的要求和过程。</w:t>
      </w:r>
    </w:p>
    <w:p>
      <w:pPr>
        <w:pStyle w:val="55"/>
        <w:ind w:firstLine="420"/>
      </w:pPr>
      <w:r>
        <w:rPr>
          <w:rFonts w:hint="eastAsia"/>
        </w:rPr>
        <w:t>——检查</w:t>
      </w:r>
      <w:r>
        <w:t>C</w:t>
      </w:r>
      <w:r>
        <w:rPr>
          <w:rFonts w:hint="eastAsia"/>
        </w:rPr>
        <w:t>（</w:t>
      </w:r>
      <w:r>
        <w:t>Check</w:t>
      </w:r>
      <w:r>
        <w:rPr>
          <w:rFonts w:hint="eastAsia"/>
        </w:rPr>
        <w:t>）：根据安全生产理念、目标、法律法规、标准规范和其他要求，对安全生产管理过程进行检查评价，并报告结果。</w:t>
      </w:r>
    </w:p>
    <w:p>
      <w:pPr>
        <w:pStyle w:val="55"/>
        <w:ind w:firstLine="420"/>
      </w:pPr>
      <w:r>
        <w:rPr>
          <w:rFonts w:hint="eastAsia"/>
        </w:rPr>
        <w:t>——改进</w:t>
      </w:r>
      <w:r>
        <w:t>A</w:t>
      </w:r>
      <w:r>
        <w:rPr>
          <w:rFonts w:hint="eastAsia"/>
        </w:rPr>
        <w:t>（</w:t>
      </w:r>
      <w:r>
        <w:t>Act</w:t>
      </w:r>
      <w:r>
        <w:rPr>
          <w:rFonts w:hint="eastAsia"/>
        </w:rPr>
        <w:t>）：采取措施持续改进安全生产绩效，以循序渐进的方式提升安全生产水平。</w:t>
      </w:r>
    </w:p>
    <w:p>
      <w:pPr>
        <w:spacing w:line="240" w:lineRule="auto"/>
        <w:jc w:val="center"/>
        <w:rPr>
          <w:rFonts w:hint="eastAsia" w:ascii="仿宋_GB2312" w:hAnsi="仿宋_GB2312" w:eastAsia="仿宋_GB2312" w:cs="仿宋_GB2312"/>
          <w:color w:val="000000"/>
          <w:sz w:val="32"/>
          <w:szCs w:val="32"/>
          <w:lang w:bidi="ar"/>
        </w:rPr>
      </w:pPr>
      <w:r>
        <w:rPr>
          <w:rFonts w:hint="eastAsia" w:ascii="仿宋_GB2312" w:hAnsi="仿宋_GB2312" w:eastAsia="仿宋_GB2312" w:cs="仿宋_GB2312"/>
          <w:color w:val="000000"/>
          <w:sz w:val="32"/>
          <w:szCs w:val="32"/>
          <w:lang w:bidi="ar"/>
        </w:rPr>
        <w:drawing>
          <wp:inline distT="0" distB="0" distL="114300" distR="114300">
            <wp:extent cx="2155825" cy="2151380"/>
            <wp:effectExtent l="0" t="0" r="8255" b="12700"/>
            <wp:docPr id="4"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图片1"/>
                    <pic:cNvPicPr>
                      <a:picLocks noChangeAspect="1"/>
                    </pic:cNvPicPr>
                  </pic:nvPicPr>
                  <pic:blipFill>
                    <a:blip r:embed="rId20"/>
                    <a:stretch>
                      <a:fillRect/>
                    </a:stretch>
                  </pic:blipFill>
                  <pic:spPr>
                    <a:xfrm>
                      <a:off x="0" y="0"/>
                      <a:ext cx="2155825" cy="2151380"/>
                    </a:xfrm>
                    <a:prstGeom prst="rect">
                      <a:avLst/>
                    </a:prstGeom>
                    <a:noFill/>
                    <a:ln>
                      <a:noFill/>
                    </a:ln>
                  </pic:spPr>
                </pic:pic>
              </a:graphicData>
            </a:graphic>
          </wp:inline>
        </w:drawing>
      </w:r>
    </w:p>
    <w:p>
      <w:pPr>
        <w:pStyle w:val="148"/>
        <w:spacing w:before="158" w:after="158"/>
      </w:pPr>
      <w:r>
        <w:rPr>
          <w:rFonts w:hint="eastAsia"/>
        </w:rPr>
        <w:t>安全生产标准化管理体系LS-PDCA运行模式</w:t>
      </w:r>
    </w:p>
    <w:p>
      <w:pPr>
        <w:pStyle w:val="229"/>
        <w:rPr>
          <w:rFonts w:hint="eastAsia" w:ascii="黑体" w:hAnsi="黑体" w:eastAsia="黑体" w:cs="黑体"/>
        </w:rPr>
      </w:pPr>
      <w:bookmarkStart w:id="38" w:name="_Toc30161"/>
      <w:r>
        <w:rPr>
          <w:rFonts w:hint="eastAsia" w:ascii="黑体" w:hAnsi="黑体" w:eastAsia="黑体" w:cs="黑体"/>
        </w:rPr>
        <w:t>本文件内容</w:t>
      </w:r>
      <w:bookmarkEnd w:id="38"/>
    </w:p>
    <w:p>
      <w:pPr>
        <w:pStyle w:val="55"/>
        <w:ind w:firstLine="420"/>
      </w:pPr>
      <w:r>
        <w:rPr>
          <w:rFonts w:hint="eastAsia"/>
        </w:rPr>
        <w:t>本文件对各行业领域大中型企业安全生产标准化管理体系的建立、实施、保持和持续改进提出了基本要求，构建了一个科学、系统的安全生产管理逻辑与模式，为企业安全生产工作提供总体框架和基本遵循，可对相关行业领域安全生产管理体系建设起到引领、规范作用，以期确保企业安全生产管理体系间的统一性和连贯性。需特别说明的是，不同行业领域在参照本文件制定本行业领域的安全生产管理体系相关标准时，可根据实际情况对本文件中的相关要素进行适当调整与拓展、对要素管理要求进行细化和提升。</w:t>
      </w:r>
    </w:p>
    <w:p>
      <w:pPr>
        <w:pStyle w:val="55"/>
        <w:ind w:firstLine="420"/>
      </w:pPr>
      <w:r>
        <w:rPr>
          <w:rFonts w:hint="eastAsia"/>
        </w:rPr>
        <w:t>本文件第</w:t>
      </w:r>
      <w:r>
        <w:t>1</w:t>
      </w:r>
      <w:r>
        <w:rPr>
          <w:rFonts w:hint="eastAsia"/>
        </w:rPr>
        <w:t>章至第</w:t>
      </w:r>
      <w:r>
        <w:t>3</w:t>
      </w:r>
      <w:r>
        <w:rPr>
          <w:rFonts w:hint="eastAsia"/>
        </w:rPr>
        <w:t>章阐述了适用范围、规范性引用文件及术语定义，第</w:t>
      </w:r>
      <w:r>
        <w:t>4</w:t>
      </w:r>
      <w:r>
        <w:rPr>
          <w:rFonts w:hint="eastAsia"/>
        </w:rPr>
        <w:t>章至第</w:t>
      </w:r>
      <w:r>
        <w:t>13</w:t>
      </w:r>
      <w:r>
        <w:rPr>
          <w:rFonts w:hint="eastAsia"/>
        </w:rPr>
        <w:t>章规范了企业安全生产标准化管理体系</w:t>
      </w:r>
      <w:r>
        <w:t>10</w:t>
      </w:r>
      <w:r>
        <w:rPr>
          <w:rFonts w:hint="eastAsia"/>
        </w:rPr>
        <w:t>个要素的核心要求，引导企业落实安全生产主体责任，构建安全生产长效机制，实现安全生产理念目标。</w:t>
      </w:r>
    </w:p>
    <w:p>
      <w:pPr>
        <w:pStyle w:val="55"/>
        <w:ind w:firstLine="420"/>
      </w:pPr>
      <w:r>
        <w:rPr>
          <w:rFonts w:hint="eastAsia"/>
        </w:rPr>
        <w:t>本文件使用以下助动词：</w:t>
      </w:r>
    </w:p>
    <w:p>
      <w:pPr>
        <w:pStyle w:val="55"/>
        <w:ind w:firstLine="420"/>
      </w:pPr>
      <w:r>
        <w:rPr>
          <w:rFonts w:hint="eastAsia"/>
        </w:rPr>
        <w:t>——“应”表示要求；</w:t>
      </w:r>
    </w:p>
    <w:p>
      <w:pPr>
        <w:pStyle w:val="55"/>
        <w:ind w:firstLine="420"/>
      </w:pPr>
      <w:r>
        <w:rPr>
          <w:rFonts w:hint="eastAsia"/>
        </w:rPr>
        <w:t>——“宜”表示建议；</w:t>
      </w:r>
    </w:p>
    <w:p>
      <w:pPr>
        <w:pStyle w:val="55"/>
        <w:ind w:firstLine="420"/>
      </w:pPr>
      <w:r>
        <w:rPr>
          <w:rFonts w:hint="eastAsia"/>
        </w:rPr>
        <w:t>——“可”表示允许。</w:t>
      </w:r>
    </w:p>
    <w:p>
      <w:pPr>
        <w:pStyle w:val="55"/>
        <w:ind w:firstLine="420"/>
      </w:pPr>
    </w:p>
    <w:p>
      <w:pPr>
        <w:pStyle w:val="55"/>
        <w:ind w:firstLine="420"/>
        <w:sectPr>
          <w:pgSz w:w="11906" w:h="16838"/>
          <w:pgMar w:top="1928" w:right="1134" w:bottom="1134" w:left="1134" w:header="1418" w:footer="1134" w:gutter="283"/>
          <w:pgNumType w:fmt="upperRoman"/>
          <w:cols w:space="720" w:num="1"/>
          <w:formProt w:val="0"/>
          <w:docGrid w:type="lines" w:linePitch="316" w:charSpace="0"/>
        </w:sectPr>
      </w:pPr>
    </w:p>
    <w:bookmarkEnd w:id="31"/>
    <w:p>
      <w:pPr>
        <w:pStyle w:val="82"/>
        <w:spacing w:before="312" w:beforeLines="100" w:after="686" w:afterLines="220"/>
        <w:rPr>
          <w:rFonts w:hint="eastAsia"/>
        </w:rPr>
      </w:pPr>
      <w:bookmarkStart w:id="39" w:name="BookMark4"/>
      <w:r>
        <w:rPr>
          <w:rFonts w:hint="eastAsia"/>
        </w:rPr>
        <w:t>大中型</w:t>
      </w:r>
      <w:r>
        <w:fldChar w:fldCharType="begin">
          <w:ffData>
            <w:name w:val="NEW_STAND_NAME"/>
            <w:enabled/>
            <w:calcOnExit w:val="0"/>
            <w:textInput>
              <w:default w:val="点击此处添加标准名称"/>
            </w:textInput>
          </w:ffData>
        </w:fldChar>
      </w:r>
      <w:r>
        <w:instrText xml:space="preserve">FORMTEXT</w:instrText>
      </w:r>
      <w:r>
        <w:fldChar w:fldCharType="separate"/>
      </w:r>
      <w:r>
        <w:t>企业安全生产标准化管理体系要求</w:t>
      </w:r>
      <w:r>
        <w:fldChar w:fldCharType="end"/>
      </w:r>
    </w:p>
    <w:bookmarkEnd w:id="24"/>
    <w:p>
      <w:pPr>
        <w:pStyle w:val="93"/>
        <w:spacing w:before="312" w:after="312"/>
      </w:pPr>
      <w:bookmarkStart w:id="40" w:name="_Toc17233325"/>
      <w:bookmarkStart w:id="41" w:name="_Toc26986530"/>
      <w:bookmarkStart w:id="42" w:name="_Toc2515"/>
      <w:bookmarkStart w:id="43" w:name="_Toc26986771"/>
      <w:bookmarkStart w:id="44" w:name="_Toc186118201"/>
      <w:bookmarkStart w:id="45" w:name="_Toc7275"/>
      <w:bookmarkStart w:id="46" w:name="_Toc17233333"/>
      <w:bookmarkStart w:id="47" w:name="_Toc21527"/>
      <w:bookmarkStart w:id="48" w:name="_Toc26648465"/>
      <w:bookmarkStart w:id="49" w:name="_Toc24884218"/>
      <w:bookmarkStart w:id="50" w:name="_Toc24884211"/>
      <w:bookmarkStart w:id="51" w:name="_Toc10169"/>
      <w:bookmarkStart w:id="52" w:name="_Toc26718930"/>
      <w:bookmarkStart w:id="53" w:name="_Toc11734"/>
      <w:r>
        <w:rPr>
          <w:rFonts w:hint="eastAsia"/>
        </w:rPr>
        <w:t>范围</w:t>
      </w:r>
      <w:bookmarkEnd w:id="40"/>
      <w:bookmarkEnd w:id="41"/>
      <w:bookmarkEnd w:id="42"/>
      <w:bookmarkEnd w:id="43"/>
      <w:bookmarkEnd w:id="44"/>
      <w:bookmarkEnd w:id="45"/>
      <w:bookmarkEnd w:id="46"/>
      <w:bookmarkEnd w:id="47"/>
      <w:bookmarkEnd w:id="48"/>
      <w:bookmarkEnd w:id="49"/>
      <w:bookmarkEnd w:id="50"/>
      <w:bookmarkEnd w:id="51"/>
      <w:bookmarkEnd w:id="52"/>
      <w:bookmarkEnd w:id="53"/>
    </w:p>
    <w:p>
      <w:pPr>
        <w:pStyle w:val="55"/>
        <w:ind w:firstLine="420"/>
      </w:pPr>
      <w:bookmarkStart w:id="54" w:name="_Toc24884212"/>
      <w:bookmarkStart w:id="55" w:name="_Toc17233326"/>
      <w:bookmarkStart w:id="56" w:name="_Toc17233334"/>
      <w:bookmarkStart w:id="57" w:name="_Toc24884219"/>
      <w:bookmarkStart w:id="58" w:name="_Toc26648466"/>
      <w:r>
        <w:rPr>
          <w:rFonts w:hint="eastAsia"/>
        </w:rPr>
        <w:t>本文件规定了企业安全生产标准化管理体系的领导作用、基础保障、总体策划、安全风险分级管控、隐患排查治理、人员管理、现场管理、应急管理、检查评价和持续改进10个要素的核心要求。</w:t>
      </w:r>
    </w:p>
    <w:p>
      <w:pPr>
        <w:pStyle w:val="55"/>
        <w:ind w:firstLine="420"/>
      </w:pPr>
      <w:r>
        <w:rPr>
          <w:rFonts w:hint="eastAsia"/>
        </w:rPr>
        <w:t>本文件适用于大中型企业安全生产标准化管理体系的建立、实施、保持和持续改进。其他企业和生产经营单位可参照执行。</w:t>
      </w:r>
    </w:p>
    <w:p>
      <w:pPr>
        <w:pStyle w:val="93"/>
        <w:spacing w:before="312" w:after="312"/>
      </w:pPr>
      <w:bookmarkStart w:id="59" w:name="_Toc26986772"/>
      <w:bookmarkStart w:id="60" w:name="_Toc26718931"/>
      <w:bookmarkStart w:id="61" w:name="_Toc26986531"/>
      <w:bookmarkStart w:id="62" w:name="_Toc19847"/>
      <w:bookmarkStart w:id="63" w:name="_Toc24395"/>
      <w:bookmarkStart w:id="64" w:name="_Toc186118202"/>
      <w:bookmarkStart w:id="65" w:name="_Toc30636"/>
      <w:bookmarkStart w:id="66" w:name="_Toc9107"/>
      <w:bookmarkStart w:id="67" w:name="_Toc19274"/>
      <w:r>
        <w:rPr>
          <w:rFonts w:hint="eastAsia"/>
        </w:rPr>
        <w:t>规范性引用文件</w:t>
      </w:r>
      <w:bookmarkEnd w:id="54"/>
      <w:bookmarkEnd w:id="55"/>
      <w:bookmarkEnd w:id="56"/>
      <w:bookmarkEnd w:id="57"/>
      <w:bookmarkEnd w:id="58"/>
      <w:bookmarkEnd w:id="59"/>
      <w:bookmarkEnd w:id="60"/>
      <w:bookmarkEnd w:id="61"/>
      <w:bookmarkEnd w:id="62"/>
      <w:bookmarkEnd w:id="63"/>
      <w:bookmarkEnd w:id="64"/>
      <w:bookmarkEnd w:id="65"/>
      <w:bookmarkEnd w:id="66"/>
      <w:bookmarkEnd w:id="67"/>
    </w:p>
    <w:p>
      <w:pPr>
        <w:pStyle w:val="55"/>
        <w:ind w:firstLine="420"/>
      </w:pPr>
      <w:r>
        <w:rPr>
          <w:rFonts w:hint="eastAsia"/>
        </w:rPr>
        <w:t>本文件没有规范性引用文件。</w:t>
      </w:r>
    </w:p>
    <w:p>
      <w:pPr>
        <w:pStyle w:val="93"/>
        <w:spacing w:before="312" w:after="312"/>
      </w:pPr>
      <w:bookmarkStart w:id="68" w:name="_Toc28330"/>
      <w:bookmarkStart w:id="69" w:name="_Toc31541"/>
      <w:bookmarkStart w:id="70" w:name="_Toc4756"/>
      <w:bookmarkStart w:id="71" w:name="_Toc3550"/>
      <w:bookmarkStart w:id="72" w:name="_Toc186118203"/>
      <w:bookmarkStart w:id="73" w:name="_Toc8843"/>
      <w:r>
        <w:rPr>
          <w:rFonts w:hint="eastAsia"/>
        </w:rPr>
        <w:t>术语和定义</w:t>
      </w:r>
      <w:bookmarkEnd w:id="68"/>
      <w:bookmarkEnd w:id="69"/>
      <w:bookmarkEnd w:id="70"/>
      <w:bookmarkEnd w:id="71"/>
      <w:bookmarkEnd w:id="72"/>
      <w:bookmarkEnd w:id="73"/>
    </w:p>
    <w:p>
      <w:pPr>
        <w:pStyle w:val="55"/>
        <w:ind w:firstLine="420"/>
      </w:pPr>
      <w:bookmarkStart w:id="74" w:name="_Toc26986532"/>
      <w:bookmarkEnd w:id="74"/>
      <w:r>
        <w:rPr>
          <w:rFonts w:hint="eastAsia"/>
        </w:rPr>
        <w:t>下列术语和定义适用于本文件。</w:t>
      </w:r>
    </w:p>
    <w:p>
      <w:pPr>
        <w:pStyle w:val="196"/>
        <w:ind w:left="420" w:hanging="420" w:hangingChars="200"/>
        <w:rPr>
          <w:rFonts w:hint="eastAsia"/>
        </w:rPr>
      </w:pPr>
      <w:r>
        <w:rPr>
          <w:rFonts w:hint="eastAsia"/>
        </w:rPr>
        <w:br w:type="textWrapping"/>
      </w:r>
      <w:r>
        <w:rPr>
          <w:rFonts w:hint="eastAsia"/>
        </w:rPr>
        <w:t>企业安全生产标准化管理体系</w:t>
      </w:r>
      <w:r>
        <w:rPr>
          <w:rFonts w:hint="eastAsia" w:ascii="Times New Roman" w:hAnsi="Times New Roman" w:eastAsia="宋体" w:cs="Times New Roman"/>
          <w:kern w:val="2"/>
          <w:szCs w:val="22"/>
        </w:rPr>
        <w:t xml:space="preserve"> enterprise work safety standardization management system</w:t>
      </w:r>
    </w:p>
    <w:p>
      <w:pPr>
        <w:pStyle w:val="55"/>
        <w:ind w:firstLine="420"/>
      </w:pPr>
      <w:r>
        <w:rPr>
          <w:rFonts w:hint="eastAsia"/>
        </w:rPr>
        <w:t>企业为实现安全生产理念和目标，通过系统化、规范化的安全生产管理活动，将一系列相互关联、相互作用的安全生产工作，按照一定的逻辑和架构进行整合而形成的有机整体。</w:t>
      </w:r>
    </w:p>
    <w:p>
      <w:pPr>
        <w:pStyle w:val="196"/>
        <w:ind w:left="420" w:hanging="420" w:hangingChars="200"/>
        <w:rPr>
          <w:rFonts w:hint="eastAsia"/>
        </w:rPr>
      </w:pPr>
      <w:r>
        <w:rPr>
          <w:rFonts w:hint="eastAsia"/>
        </w:rPr>
        <w:br w:type="textWrapping"/>
      </w:r>
      <w:r>
        <w:rPr>
          <w:rFonts w:hint="eastAsia"/>
        </w:rPr>
        <w:t xml:space="preserve">安全生产绩效 </w:t>
      </w:r>
      <w:r>
        <w:rPr>
          <w:rFonts w:hint="eastAsia" w:ascii="Times New Roman" w:hAnsi="Times New Roman" w:eastAsia="宋体" w:cs="Times New Roman"/>
          <w:kern w:val="2"/>
          <w:szCs w:val="22"/>
        </w:rPr>
        <w:t>work safety performance</w:t>
      </w:r>
    </w:p>
    <w:p>
      <w:pPr>
        <w:pStyle w:val="55"/>
        <w:ind w:firstLine="420"/>
      </w:pPr>
      <w:r>
        <w:t>根据安全生产目标，</w:t>
      </w:r>
      <w:r>
        <w:rPr>
          <w:rFonts w:hint="eastAsia"/>
        </w:rPr>
        <w:t>在</w:t>
      </w:r>
      <w:r>
        <w:t>安全生产工作方面取得的可测量结果。</w:t>
      </w:r>
    </w:p>
    <w:p>
      <w:pPr>
        <w:pStyle w:val="196"/>
        <w:ind w:left="420" w:hanging="420" w:hangingChars="200"/>
        <w:rPr>
          <w:rFonts w:ascii="Times New Roman" w:hAnsi="Times New Roman" w:eastAsia="宋体" w:cs="Times New Roman"/>
          <w:kern w:val="2"/>
          <w:szCs w:val="22"/>
        </w:rPr>
      </w:pPr>
      <w:r>
        <w:rPr>
          <w:rFonts w:hint="eastAsia"/>
        </w:rPr>
        <w:br w:type="textWrapping"/>
      </w:r>
      <w:r>
        <w:rPr>
          <w:rFonts w:hint="eastAsia"/>
        </w:rPr>
        <w:t xml:space="preserve">企业主要负责人 </w:t>
      </w:r>
      <w:r>
        <w:rPr>
          <w:rFonts w:hint="eastAsia" w:ascii="Times New Roman" w:hAnsi="Times New Roman" w:eastAsia="宋体" w:cs="Times New Roman"/>
          <w:kern w:val="2"/>
          <w:szCs w:val="22"/>
        </w:rPr>
        <w:t>key person(s) in charge of the enterprise</w:t>
      </w:r>
    </w:p>
    <w:p>
      <w:pPr>
        <w:pStyle w:val="55"/>
        <w:ind w:firstLine="420"/>
      </w:pPr>
      <w:r>
        <w:rPr>
          <w:rFonts w:hint="eastAsia"/>
        </w:rPr>
        <w:t>在企业中承担全面领导责任的法定代表人、实际控制人等主要决策人。</w:t>
      </w:r>
    </w:p>
    <w:p>
      <w:pPr>
        <w:pStyle w:val="109"/>
      </w:pPr>
      <w:r>
        <w:rPr>
          <w:rFonts w:hint="eastAsia"/>
        </w:rPr>
        <w:t>包括有限责任公司、股份有限公司的董事长和经理（总经理、首席执行官或其他实际履行经理职责的企业负责人），其他生产经营单位的厂长、经理、矿长等，以及对生产经营活动有决策权的实际控制人。</w:t>
      </w:r>
    </w:p>
    <w:p>
      <w:pPr>
        <w:pStyle w:val="196"/>
        <w:ind w:left="420" w:hanging="420" w:hangingChars="200"/>
        <w:rPr>
          <w:rFonts w:hint="eastAsia"/>
        </w:rPr>
      </w:pPr>
    </w:p>
    <w:p>
      <w:pPr>
        <w:pStyle w:val="55"/>
        <w:ind w:firstLine="420"/>
      </w:pPr>
      <w:r>
        <w:rPr>
          <w:rFonts w:hint="eastAsia" w:ascii="黑体" w:hAnsi="黑体" w:eastAsia="黑体" w:cs="黑体"/>
        </w:rPr>
        <w:t>业务部门</w:t>
      </w:r>
      <w:r>
        <w:rPr>
          <w:rFonts w:hint="eastAsia"/>
        </w:rPr>
        <w:t xml:space="preserve"> </w:t>
      </w:r>
      <w:r>
        <w:rPr>
          <w:rFonts w:hint="eastAsia" w:ascii="Times New Roman"/>
          <w:kern w:val="2"/>
          <w:szCs w:val="22"/>
        </w:rPr>
        <w:t>operating and management department</w:t>
      </w:r>
    </w:p>
    <w:p>
      <w:pPr>
        <w:pStyle w:val="55"/>
        <w:ind w:firstLine="420"/>
      </w:pPr>
      <w:r>
        <w:rPr>
          <w:rFonts w:hint="eastAsia"/>
        </w:rPr>
        <w:t>企业内部除安全生产管理机构之外的其他部门。</w:t>
      </w:r>
    </w:p>
    <w:p>
      <w:pPr>
        <w:pStyle w:val="196"/>
        <w:ind w:left="420" w:hanging="420" w:hangingChars="200"/>
        <w:rPr>
          <w:rFonts w:hint="eastAsia"/>
        </w:rPr>
      </w:pPr>
      <w:r>
        <w:rPr>
          <w:rFonts w:hint="eastAsia"/>
        </w:rPr>
        <w:br w:type="textWrapping"/>
      </w:r>
      <w:r>
        <w:rPr>
          <w:rFonts w:hint="eastAsia"/>
        </w:rPr>
        <w:t xml:space="preserve">合规义务 </w:t>
      </w:r>
      <w:r>
        <w:rPr>
          <w:rFonts w:hint="eastAsia" w:ascii="Times New Roman" w:hAnsi="Times New Roman" w:eastAsia="宋体" w:cs="Times New Roman"/>
          <w:kern w:val="2"/>
          <w:szCs w:val="22"/>
        </w:rPr>
        <w:t>compliance obligations</w:t>
      </w:r>
    </w:p>
    <w:p>
      <w:pPr>
        <w:pStyle w:val="55"/>
        <w:ind w:firstLine="420"/>
      </w:pPr>
      <w:r>
        <w:rPr>
          <w:rFonts w:hint="eastAsia"/>
          <w:lang w:val="zh-CN"/>
        </w:rPr>
        <w:t>企业必须遵守的法律法规、标准规范</w:t>
      </w:r>
      <w:r>
        <w:rPr>
          <w:rFonts w:hint="eastAsia"/>
        </w:rPr>
        <w:t>，</w:t>
      </w:r>
      <w:r>
        <w:rPr>
          <w:rFonts w:hint="eastAsia"/>
          <w:lang w:val="zh-CN"/>
        </w:rPr>
        <w:t>以及必须遵守或选择遵守的其他要求。</w:t>
      </w:r>
      <w:r>
        <w:rPr>
          <w:rFonts w:hint="eastAsia"/>
        </w:rPr>
        <w:t xml:space="preserve"> </w:t>
      </w:r>
    </w:p>
    <w:p>
      <w:pPr>
        <w:pStyle w:val="55"/>
        <w:ind w:firstLine="420"/>
      </w:pPr>
      <w:r>
        <w:rPr>
          <w:rFonts w:hint="eastAsia"/>
        </w:rPr>
        <w:t>[来源：</w:t>
      </w:r>
      <w:r>
        <w:rPr>
          <w:rFonts w:ascii="Times New Roman"/>
        </w:rPr>
        <w:t>GB/T24001，3.2.9</w:t>
      </w:r>
      <w:r>
        <w:rPr>
          <w:rFonts w:hint="eastAsia" w:ascii="Times New Roman"/>
        </w:rPr>
        <w:t>，有修改</w:t>
      </w:r>
      <w:r>
        <w:rPr>
          <w:rFonts w:hint="eastAsia"/>
        </w:rPr>
        <w:t>]</w:t>
      </w:r>
    </w:p>
    <w:p>
      <w:pPr>
        <w:pStyle w:val="196"/>
        <w:ind w:left="420" w:hanging="420" w:hangingChars="200"/>
        <w:rPr>
          <w:rFonts w:hint="eastAsia"/>
        </w:rPr>
      </w:pPr>
    </w:p>
    <w:p>
      <w:pPr>
        <w:ind w:firstLine="420" w:firstLineChars="200"/>
        <w:rPr>
          <w:rFonts w:hint="eastAsia" w:ascii="黑体" w:hAnsi="黑体" w:eastAsia="黑体" w:cs="黑体"/>
          <w:kern w:val="0"/>
          <w:szCs w:val="20"/>
        </w:rPr>
      </w:pPr>
      <w:r>
        <w:rPr>
          <w:rFonts w:hint="eastAsia" w:ascii="黑体" w:hAnsi="黑体" w:eastAsia="黑体" w:cs="黑体"/>
          <w:kern w:val="0"/>
          <w:szCs w:val="20"/>
        </w:rPr>
        <w:t xml:space="preserve">安全风险 </w:t>
      </w:r>
      <w:r>
        <w:rPr>
          <w:rFonts w:hint="eastAsia" w:ascii="Times New Roman" w:hAnsi="Times New Roman"/>
          <w:szCs w:val="22"/>
        </w:rPr>
        <w:t>risk</w:t>
      </w:r>
    </w:p>
    <w:p>
      <w:pPr>
        <w:pStyle w:val="55"/>
        <w:ind w:firstLine="420"/>
      </w:pPr>
      <w:r>
        <w:rPr>
          <w:rFonts w:hint="eastAsia"/>
        </w:rPr>
        <w:t>指发生危险事件或有害暴露的可能性，与随之引发的人身伤亡或者直接经济损失的严重性的组合。</w:t>
      </w:r>
    </w:p>
    <w:p>
      <w:pPr>
        <w:pStyle w:val="196"/>
        <w:ind w:left="420" w:hanging="420" w:hangingChars="200"/>
        <w:rPr>
          <w:rFonts w:hint="eastAsia"/>
        </w:rPr>
      </w:pPr>
    </w:p>
    <w:p>
      <w:pPr>
        <w:ind w:firstLine="420" w:firstLineChars="200"/>
        <w:rPr>
          <w:rFonts w:hint="eastAsia" w:ascii="黑体" w:hAnsi="宋体" w:eastAsia="黑体"/>
        </w:rPr>
      </w:pPr>
      <w:r>
        <w:rPr>
          <w:rFonts w:hint="eastAsia" w:ascii="黑体" w:hAnsi="宋体" w:eastAsia="黑体"/>
        </w:rPr>
        <w:t>安全</w:t>
      </w:r>
      <w:r>
        <w:rPr>
          <w:rFonts w:ascii="黑体" w:hAnsi="宋体" w:eastAsia="黑体"/>
        </w:rPr>
        <w:t>风险评</w:t>
      </w:r>
      <w:r>
        <w:rPr>
          <w:rFonts w:hint="eastAsia" w:ascii="黑体" w:hAnsi="宋体" w:eastAsia="黑体"/>
        </w:rPr>
        <w:t>估</w:t>
      </w:r>
      <w:r>
        <w:rPr>
          <w:rFonts w:ascii="黑体" w:hAnsi="宋体" w:eastAsia="黑体"/>
        </w:rPr>
        <w:t xml:space="preserve"> </w:t>
      </w:r>
      <w:r>
        <w:rPr>
          <w:rFonts w:hint="eastAsia" w:ascii="Times New Roman" w:hAnsi="Times New Roman"/>
          <w:szCs w:val="22"/>
        </w:rPr>
        <w:t>risk assessment</w:t>
      </w:r>
    </w:p>
    <w:p>
      <w:pPr>
        <w:pStyle w:val="55"/>
        <w:ind w:firstLine="420"/>
      </w:pPr>
      <w:r>
        <w:t>运用定性或定量的统计分析方法对</w:t>
      </w:r>
      <w:r>
        <w:rPr>
          <w:rFonts w:hint="eastAsia"/>
        </w:rPr>
        <w:t>安全</w:t>
      </w:r>
      <w:r>
        <w:t>风险进行</w:t>
      </w:r>
      <w:r>
        <w:rPr>
          <w:rFonts w:hint="eastAsia"/>
        </w:rPr>
        <w:t>分析</w:t>
      </w:r>
      <w:r>
        <w:t>、确定其严重程度，对现有控制措施的充分性</w:t>
      </w:r>
      <w:r>
        <w:rPr>
          <w:rFonts w:hint="eastAsia"/>
        </w:rPr>
        <w:t>、可靠性</w:t>
      </w:r>
      <w:r>
        <w:t>加以考虑</w:t>
      </w:r>
      <w:r>
        <w:rPr>
          <w:rFonts w:hint="eastAsia"/>
        </w:rPr>
        <w:t>，</w:t>
      </w:r>
      <w:r>
        <w:t>以及对其是否可接受予以确定的过程。</w:t>
      </w:r>
    </w:p>
    <w:p>
      <w:pPr>
        <w:pStyle w:val="196"/>
        <w:ind w:left="420" w:hanging="420" w:hangingChars="200"/>
        <w:rPr>
          <w:rFonts w:ascii="Times New Roman" w:hAnsi="Times New Roman" w:eastAsia="宋体" w:cs="Times New Roman"/>
          <w:kern w:val="2"/>
          <w:szCs w:val="22"/>
        </w:rPr>
      </w:pPr>
      <w:r>
        <w:rPr>
          <w:rFonts w:hint="eastAsia"/>
        </w:rPr>
        <w:br w:type="textWrapping"/>
      </w:r>
      <w:r>
        <w:rPr>
          <w:rFonts w:hint="eastAsia"/>
        </w:rPr>
        <w:t xml:space="preserve">行为观察 </w:t>
      </w:r>
      <w:r>
        <w:rPr>
          <w:rFonts w:hint="eastAsia" w:ascii="Times New Roman" w:hAnsi="Times New Roman" w:eastAsia="宋体" w:cs="Times New Roman"/>
          <w:kern w:val="2"/>
          <w:szCs w:val="22"/>
        </w:rPr>
        <w:t>behavior observation</w:t>
      </w:r>
    </w:p>
    <w:p>
      <w:pPr>
        <w:pStyle w:val="55"/>
        <w:ind w:firstLine="420"/>
      </w:pPr>
      <w:r>
        <w:rPr>
          <w:rFonts w:hint="eastAsia"/>
        </w:rPr>
        <w:t>依据操作规程、作业标准等，对从业人员行为进行现场观察和沟通的过程。</w:t>
      </w:r>
    </w:p>
    <w:p>
      <w:pPr>
        <w:pStyle w:val="196"/>
        <w:ind w:left="420" w:hanging="420" w:hangingChars="200"/>
        <w:rPr>
          <w:rFonts w:ascii="Times New Roman" w:hAnsi="Times New Roman" w:eastAsia="宋体" w:cs="Times New Roman"/>
          <w:kern w:val="2"/>
          <w:szCs w:val="22"/>
        </w:rPr>
      </w:pPr>
      <w:r>
        <w:rPr>
          <w:rFonts w:hint="eastAsia"/>
        </w:rPr>
        <w:br w:type="textWrapping"/>
      </w:r>
      <w:r>
        <w:rPr>
          <w:rFonts w:hint="eastAsia"/>
        </w:rPr>
        <w:t xml:space="preserve">不安全行为 </w:t>
      </w:r>
      <w:r>
        <w:rPr>
          <w:rFonts w:hint="eastAsia" w:ascii="Times New Roman" w:hAnsi="Times New Roman" w:eastAsia="宋体" w:cs="Times New Roman"/>
          <w:kern w:val="2"/>
          <w:szCs w:val="22"/>
        </w:rPr>
        <w:t>unsafe behavior</w:t>
      </w:r>
    </w:p>
    <w:p>
      <w:pPr>
        <w:pStyle w:val="55"/>
        <w:ind w:firstLine="420"/>
      </w:pPr>
      <w:r>
        <w:rPr>
          <w:rFonts w:hint="eastAsia"/>
        </w:rPr>
        <w:t>可能产生风险或导致事故发生的行为。</w:t>
      </w:r>
    </w:p>
    <w:p>
      <w:pPr>
        <w:pStyle w:val="196"/>
        <w:ind w:left="420" w:hanging="420" w:hangingChars="200"/>
        <w:rPr>
          <w:rFonts w:ascii="Times New Roman" w:hAnsi="Times New Roman" w:eastAsia="宋体" w:cs="Times New Roman"/>
          <w:kern w:val="2"/>
          <w:szCs w:val="22"/>
        </w:rPr>
      </w:pPr>
      <w:r>
        <w:rPr>
          <w:rFonts w:hint="eastAsia"/>
        </w:rPr>
        <w:br w:type="textWrapping"/>
      </w:r>
      <w:r>
        <w:rPr>
          <w:rFonts w:hint="eastAsia"/>
        </w:rPr>
        <w:t xml:space="preserve">异常处置 </w:t>
      </w:r>
      <w:r>
        <w:rPr>
          <w:rFonts w:hint="eastAsia" w:ascii="Times New Roman" w:hAnsi="Times New Roman" w:eastAsia="宋体" w:cs="Times New Roman"/>
          <w:kern w:val="2"/>
          <w:szCs w:val="22"/>
        </w:rPr>
        <w:t>abnormal handling</w:t>
      </w:r>
    </w:p>
    <w:p>
      <w:pPr>
        <w:pStyle w:val="55"/>
        <w:ind w:firstLine="420"/>
      </w:pPr>
      <w:r>
        <w:rPr>
          <w:rFonts w:hint="eastAsia"/>
        </w:rPr>
        <w:t>对偏离正常运行或者控制标准的工况所采取的措施、程序和行动。</w:t>
      </w:r>
    </w:p>
    <w:p>
      <w:pPr>
        <w:pStyle w:val="109"/>
        <w:numPr>
          <w:ilvl w:val="0"/>
          <w:numId w:val="33"/>
        </w:numPr>
      </w:pPr>
      <w:r>
        <w:rPr>
          <w:rFonts w:hint="eastAsia"/>
        </w:rPr>
        <w:t>包括但不限于异常通知、告警、让步放行及原因分析、临时管控及闭环整改等管控要求。</w:t>
      </w:r>
    </w:p>
    <w:p>
      <w:pPr>
        <w:pStyle w:val="196"/>
        <w:ind w:left="420" w:hanging="420" w:hangingChars="200"/>
        <w:rPr>
          <w:rFonts w:ascii="Times New Roman" w:hAnsi="Times New Roman" w:eastAsia="宋体" w:cs="Times New Roman"/>
          <w:kern w:val="2"/>
          <w:szCs w:val="22"/>
        </w:rPr>
      </w:pPr>
      <w:r>
        <w:rPr>
          <w:rFonts w:hint="eastAsia"/>
        </w:rPr>
        <w:br w:type="textWrapping"/>
      </w:r>
      <w:r>
        <w:rPr>
          <w:rFonts w:hint="eastAsia"/>
        </w:rPr>
        <w:t xml:space="preserve">持续改进 </w:t>
      </w:r>
      <w:r>
        <w:rPr>
          <w:rFonts w:hint="eastAsia" w:ascii="Times New Roman" w:hAnsi="Times New Roman" w:eastAsia="宋体" w:cs="Times New Roman"/>
          <w:kern w:val="2"/>
          <w:szCs w:val="22"/>
        </w:rPr>
        <w:t>continuous improvement</w:t>
      </w:r>
    </w:p>
    <w:p>
      <w:pPr>
        <w:pStyle w:val="55"/>
        <w:ind w:firstLine="420"/>
      </w:pPr>
      <w:r>
        <w:rPr>
          <w:rFonts w:hint="eastAsia"/>
        </w:rPr>
        <w:t>为了提高安全生产绩效，根据企业的安全生产目标，不断对安全生产工作进行改进的过程。</w:t>
      </w:r>
    </w:p>
    <w:p>
      <w:pPr>
        <w:pStyle w:val="196"/>
        <w:ind w:left="420" w:hanging="420" w:hangingChars="200"/>
        <w:rPr>
          <w:rFonts w:ascii="Times New Roman" w:hAnsi="Times New Roman" w:eastAsia="宋体" w:cs="Times New Roman"/>
          <w:kern w:val="2"/>
          <w:szCs w:val="22"/>
        </w:rPr>
      </w:pPr>
      <w:r>
        <w:rPr>
          <w:rFonts w:hint="eastAsia"/>
        </w:rPr>
        <w:br w:type="textWrapping"/>
      </w:r>
      <w:r>
        <w:rPr>
          <w:rFonts w:hint="eastAsia"/>
        </w:rPr>
        <w:t xml:space="preserve">事件 </w:t>
      </w:r>
      <w:r>
        <w:rPr>
          <w:rFonts w:hint="eastAsia" w:ascii="Times New Roman" w:hAnsi="Times New Roman" w:eastAsia="宋体" w:cs="Times New Roman"/>
          <w:kern w:val="2"/>
          <w:szCs w:val="22"/>
        </w:rPr>
        <w:t>incident</w:t>
      </w:r>
    </w:p>
    <w:p>
      <w:pPr>
        <w:pStyle w:val="55"/>
        <w:ind w:firstLine="420"/>
      </w:pPr>
      <w:r>
        <w:rPr>
          <w:rFonts w:hint="eastAsia"/>
        </w:rPr>
        <w:t>生产经营活动中发生或可能发生的人身伤亡或者直接经济损失的情况。</w:t>
      </w:r>
    </w:p>
    <w:p>
      <w:pPr>
        <w:pStyle w:val="109"/>
        <w:numPr>
          <w:ilvl w:val="0"/>
          <w:numId w:val="34"/>
        </w:numPr>
      </w:pPr>
      <w:r>
        <w:rPr>
          <w:rFonts w:hint="eastAsia"/>
        </w:rPr>
        <w:t>事件包括事故和未遂事故。</w:t>
      </w:r>
    </w:p>
    <w:p>
      <w:pPr>
        <w:pStyle w:val="109"/>
        <w:numPr>
          <w:ilvl w:val="0"/>
          <w:numId w:val="34"/>
        </w:numPr>
      </w:pPr>
      <w:r>
        <w:rPr>
          <w:rFonts w:hint="eastAsia"/>
        </w:rPr>
        <w:t>产生人身伤亡或者直接经济损失的事件被称为“事故”。</w:t>
      </w:r>
    </w:p>
    <w:p>
      <w:pPr>
        <w:pStyle w:val="109"/>
        <w:numPr>
          <w:ilvl w:val="0"/>
          <w:numId w:val="34"/>
        </w:numPr>
      </w:pPr>
      <w:r>
        <w:rPr>
          <w:rFonts w:hint="eastAsia"/>
        </w:rPr>
        <w:t>没有人身伤亡或者直接经济损失但有可能造成人身伤亡或者直接经济损失趋势的事件，可被称为“未遂事故”。</w:t>
      </w:r>
    </w:p>
    <w:p>
      <w:pPr>
        <w:pStyle w:val="93"/>
        <w:spacing w:before="312" w:after="312"/>
      </w:pPr>
      <w:bookmarkStart w:id="75" w:name="_Toc19868"/>
      <w:bookmarkStart w:id="76" w:name="_Toc186118204"/>
      <w:bookmarkStart w:id="77" w:name="_Toc31537"/>
      <w:bookmarkStart w:id="78" w:name="_Toc7631"/>
      <w:bookmarkStart w:id="79" w:name="_Toc16222"/>
      <w:r>
        <w:rPr>
          <w:rFonts w:hint="eastAsia"/>
        </w:rPr>
        <w:t>领导作用</w:t>
      </w:r>
      <w:bookmarkEnd w:id="75"/>
      <w:bookmarkEnd w:id="76"/>
      <w:bookmarkEnd w:id="77"/>
      <w:bookmarkEnd w:id="78"/>
      <w:bookmarkEnd w:id="79"/>
    </w:p>
    <w:p>
      <w:pPr>
        <w:pStyle w:val="92"/>
        <w:spacing w:before="156" w:after="156"/>
      </w:pPr>
      <w:bookmarkStart w:id="80" w:name="_Toc17924"/>
      <w:bookmarkStart w:id="81" w:name="_Toc22161"/>
      <w:bookmarkStart w:id="82" w:name="_Toc186118205"/>
      <w:bookmarkStart w:id="83" w:name="_Toc13902"/>
      <w:bookmarkStart w:id="84" w:name="_Toc24757"/>
      <w:r>
        <w:rPr>
          <w:rFonts w:hint="eastAsia"/>
        </w:rPr>
        <w:t>安全领导力</w:t>
      </w:r>
      <w:bookmarkEnd w:id="80"/>
      <w:bookmarkEnd w:id="81"/>
      <w:bookmarkEnd w:id="82"/>
      <w:bookmarkEnd w:id="83"/>
      <w:bookmarkEnd w:id="84"/>
    </w:p>
    <w:p>
      <w:pPr>
        <w:pStyle w:val="55"/>
        <w:ind w:firstLine="420"/>
      </w:pPr>
      <w:r>
        <w:rPr>
          <w:rFonts w:hint="eastAsia"/>
        </w:rPr>
        <w:t>企业各级领导应在以下方面发挥领导作用，提升决断力、执行力和影响力：</w:t>
      </w:r>
    </w:p>
    <w:p>
      <w:pPr>
        <w:pStyle w:val="137"/>
        <w:numPr>
          <w:ilvl w:val="0"/>
          <w:numId w:val="35"/>
        </w:numPr>
      </w:pPr>
      <w:r>
        <w:rPr>
          <w:rFonts w:hint="eastAsia"/>
        </w:rPr>
        <w:t>践行安全理念；</w:t>
      </w:r>
    </w:p>
    <w:p>
      <w:pPr>
        <w:pStyle w:val="137"/>
        <w:numPr>
          <w:ilvl w:val="0"/>
          <w:numId w:val="35"/>
        </w:numPr>
      </w:pPr>
      <w:r>
        <w:rPr>
          <w:rFonts w:hint="eastAsia"/>
        </w:rPr>
        <w:t>履行安全承诺；</w:t>
      </w:r>
    </w:p>
    <w:p>
      <w:pPr>
        <w:pStyle w:val="137"/>
        <w:numPr>
          <w:ilvl w:val="0"/>
          <w:numId w:val="35"/>
        </w:numPr>
      </w:pPr>
      <w:r>
        <w:rPr>
          <w:rFonts w:hint="eastAsia"/>
        </w:rPr>
        <w:t>发挥表率作用；</w:t>
      </w:r>
    </w:p>
    <w:p>
      <w:pPr>
        <w:pStyle w:val="137"/>
        <w:numPr>
          <w:ilvl w:val="0"/>
          <w:numId w:val="35"/>
        </w:numPr>
      </w:pPr>
      <w:r>
        <w:rPr>
          <w:rFonts w:hint="eastAsia"/>
        </w:rPr>
        <w:t>提供资源保障；</w:t>
      </w:r>
    </w:p>
    <w:p>
      <w:pPr>
        <w:pStyle w:val="137"/>
        <w:numPr>
          <w:ilvl w:val="0"/>
          <w:numId w:val="35"/>
        </w:numPr>
      </w:pPr>
      <w:r>
        <w:rPr>
          <w:rFonts w:hint="eastAsia"/>
        </w:rPr>
        <w:t>管控安全风险；</w:t>
      </w:r>
    </w:p>
    <w:p>
      <w:pPr>
        <w:pStyle w:val="137"/>
        <w:numPr>
          <w:ilvl w:val="0"/>
          <w:numId w:val="35"/>
        </w:numPr>
      </w:pPr>
      <w:r>
        <w:rPr>
          <w:rFonts w:hint="eastAsia"/>
        </w:rPr>
        <w:t>排查治理隐患；</w:t>
      </w:r>
    </w:p>
    <w:p>
      <w:pPr>
        <w:pStyle w:val="137"/>
        <w:numPr>
          <w:ilvl w:val="0"/>
          <w:numId w:val="35"/>
        </w:numPr>
      </w:pPr>
      <w:r>
        <w:rPr>
          <w:rFonts w:hint="eastAsia"/>
        </w:rPr>
        <w:t>科学应急处置。</w:t>
      </w:r>
    </w:p>
    <w:p>
      <w:pPr>
        <w:pStyle w:val="55"/>
        <w:ind w:firstLine="420"/>
      </w:pPr>
      <w:r>
        <w:rPr>
          <w:rFonts w:hint="eastAsia"/>
        </w:rPr>
        <w:t>企业主要负责人是本企业安全生产第一责任人，应对安全生产工作全面负责。其他负责人对职责范围内的安全生产工作负责。</w:t>
      </w:r>
    </w:p>
    <w:p>
      <w:pPr>
        <w:pStyle w:val="55"/>
        <w:ind w:firstLine="420"/>
      </w:pPr>
      <w:r>
        <w:rPr>
          <w:rFonts w:hint="eastAsia"/>
        </w:rPr>
        <w:t>企业各级领导应深入现场一线，了解现场情况，解决安全生产实际问题。</w:t>
      </w:r>
    </w:p>
    <w:p>
      <w:pPr>
        <w:pStyle w:val="92"/>
        <w:spacing w:before="156" w:after="156"/>
      </w:pPr>
      <w:bookmarkStart w:id="85" w:name="_Toc29545"/>
      <w:bookmarkStart w:id="86" w:name="_Toc8783"/>
      <w:bookmarkStart w:id="87" w:name="_Toc186118206"/>
      <w:bookmarkStart w:id="88" w:name="_Toc25742"/>
      <w:bookmarkStart w:id="89" w:name="_Toc1957"/>
      <w:r>
        <w:rPr>
          <w:rFonts w:hint="eastAsia"/>
        </w:rPr>
        <w:t>安全承诺</w:t>
      </w:r>
      <w:bookmarkEnd w:id="85"/>
      <w:bookmarkEnd w:id="86"/>
      <w:bookmarkEnd w:id="87"/>
      <w:bookmarkEnd w:id="88"/>
      <w:bookmarkEnd w:id="89"/>
    </w:p>
    <w:p>
      <w:pPr>
        <w:pStyle w:val="55"/>
        <w:ind w:firstLine="420"/>
      </w:pPr>
      <w:r>
        <w:rPr>
          <w:rFonts w:hint="eastAsia"/>
        </w:rPr>
        <w:t>企业主要负责人应代表企业作出书面、公开的安全承诺，承诺内容包括但不限于：</w:t>
      </w:r>
    </w:p>
    <w:p>
      <w:pPr>
        <w:pStyle w:val="137"/>
        <w:numPr>
          <w:ilvl w:val="0"/>
          <w:numId w:val="36"/>
        </w:numPr>
      </w:pPr>
      <w:r>
        <w:rPr>
          <w:rFonts w:hint="eastAsia"/>
        </w:rPr>
        <w:t>遵守安全生产法律法规；</w:t>
      </w:r>
    </w:p>
    <w:p>
      <w:pPr>
        <w:pStyle w:val="137"/>
        <w:numPr>
          <w:ilvl w:val="0"/>
          <w:numId w:val="36"/>
        </w:numPr>
      </w:pPr>
      <w:r>
        <w:rPr>
          <w:rFonts w:hint="eastAsia"/>
        </w:rPr>
        <w:t>落实安全生产责任；</w:t>
      </w:r>
    </w:p>
    <w:p>
      <w:pPr>
        <w:pStyle w:val="137"/>
        <w:numPr>
          <w:ilvl w:val="0"/>
          <w:numId w:val="36"/>
        </w:numPr>
      </w:pPr>
      <w:r>
        <w:rPr>
          <w:rFonts w:hint="eastAsia"/>
        </w:rPr>
        <w:t>健全安全生产标准化管理体系；</w:t>
      </w:r>
    </w:p>
    <w:p>
      <w:pPr>
        <w:pStyle w:val="137"/>
        <w:numPr>
          <w:ilvl w:val="0"/>
          <w:numId w:val="36"/>
        </w:numPr>
      </w:pPr>
      <w:r>
        <w:rPr>
          <w:rFonts w:hint="eastAsia"/>
        </w:rPr>
        <w:t>保障安全生产投入；</w:t>
      </w:r>
    </w:p>
    <w:p>
      <w:pPr>
        <w:pStyle w:val="137"/>
        <w:numPr>
          <w:ilvl w:val="0"/>
          <w:numId w:val="36"/>
        </w:numPr>
      </w:pPr>
      <w:r>
        <w:rPr>
          <w:rFonts w:hint="eastAsia"/>
        </w:rPr>
        <w:t>管控安全风险；</w:t>
      </w:r>
    </w:p>
    <w:p>
      <w:pPr>
        <w:pStyle w:val="137"/>
        <w:numPr>
          <w:ilvl w:val="0"/>
          <w:numId w:val="36"/>
        </w:numPr>
      </w:pPr>
      <w:r>
        <w:rPr>
          <w:rFonts w:hint="eastAsia"/>
        </w:rPr>
        <w:t>排查治理隐患；</w:t>
      </w:r>
    </w:p>
    <w:p>
      <w:pPr>
        <w:pStyle w:val="137"/>
        <w:numPr>
          <w:ilvl w:val="0"/>
          <w:numId w:val="36"/>
        </w:numPr>
      </w:pPr>
      <w:r>
        <w:rPr>
          <w:rFonts w:hint="eastAsia"/>
        </w:rPr>
        <w:t>维护职工合法权益。</w:t>
      </w:r>
    </w:p>
    <w:p>
      <w:pPr>
        <w:pStyle w:val="55"/>
        <w:ind w:firstLine="420"/>
      </w:pPr>
      <w:r>
        <w:rPr>
          <w:rFonts w:hint="eastAsia"/>
        </w:rPr>
        <w:t>安全承诺兑现情况应接受从业人员和社会的监督。</w:t>
      </w:r>
    </w:p>
    <w:p>
      <w:pPr>
        <w:pStyle w:val="92"/>
        <w:spacing w:before="156" w:after="156"/>
      </w:pPr>
      <w:bookmarkStart w:id="90" w:name="_Toc21122"/>
      <w:bookmarkStart w:id="91" w:name="_Toc14095"/>
      <w:bookmarkStart w:id="92" w:name="_Toc186118207"/>
      <w:bookmarkStart w:id="93" w:name="_Toc4437"/>
      <w:bookmarkStart w:id="94" w:name="_Toc31428"/>
      <w:r>
        <w:rPr>
          <w:rFonts w:hint="eastAsia"/>
        </w:rPr>
        <w:t>安全决策</w:t>
      </w:r>
      <w:bookmarkEnd w:id="90"/>
      <w:bookmarkEnd w:id="91"/>
      <w:bookmarkEnd w:id="92"/>
      <w:bookmarkEnd w:id="93"/>
      <w:bookmarkEnd w:id="94"/>
    </w:p>
    <w:p>
      <w:pPr>
        <w:pStyle w:val="55"/>
        <w:ind w:firstLine="420"/>
      </w:pPr>
      <w:r>
        <w:rPr>
          <w:rFonts w:hint="eastAsia"/>
        </w:rPr>
        <w:t>企业应明确安全生产决策的事项、权责和流程。</w:t>
      </w:r>
    </w:p>
    <w:p>
      <w:pPr>
        <w:pStyle w:val="55"/>
        <w:ind w:firstLine="420"/>
      </w:pPr>
      <w:r>
        <w:rPr>
          <w:rFonts w:hint="eastAsia"/>
        </w:rPr>
        <w:t>应基于安全生产合规义务、安全风险管控和应急管理等要求，运用科学的方法对安全生产事项进行决策。</w:t>
      </w:r>
    </w:p>
    <w:p>
      <w:pPr>
        <w:pStyle w:val="55"/>
        <w:ind w:firstLine="420"/>
      </w:pPr>
      <w:r>
        <w:rPr>
          <w:rFonts w:hint="eastAsia"/>
        </w:rPr>
        <w:t>作出涉及安全生产的经营决策前，应听取安全生产管理机构、业务部门和从业人员代表的意见。</w:t>
      </w:r>
    </w:p>
    <w:p>
      <w:pPr>
        <w:pStyle w:val="92"/>
        <w:spacing w:before="156" w:after="156"/>
      </w:pPr>
      <w:bookmarkStart w:id="95" w:name="_Toc26704"/>
      <w:bookmarkStart w:id="96" w:name="_Toc186118208"/>
      <w:bookmarkStart w:id="97" w:name="_Toc26420"/>
      <w:bookmarkStart w:id="98" w:name="_Toc1867"/>
      <w:bookmarkStart w:id="99" w:name="_Toc23212"/>
      <w:r>
        <w:rPr>
          <w:rFonts w:hint="eastAsia"/>
        </w:rPr>
        <w:t>安全履职评价</w:t>
      </w:r>
      <w:bookmarkEnd w:id="95"/>
      <w:bookmarkEnd w:id="96"/>
      <w:bookmarkEnd w:id="97"/>
      <w:bookmarkEnd w:id="98"/>
      <w:bookmarkEnd w:id="99"/>
    </w:p>
    <w:p>
      <w:pPr>
        <w:pStyle w:val="55"/>
        <w:ind w:firstLine="420"/>
      </w:pPr>
      <w:r>
        <w:rPr>
          <w:rFonts w:hint="eastAsia"/>
        </w:rPr>
        <w:t>企业应建立主要负责人和其他负责人安全履职评价的管理要求，明确安全履职评价的周期、标准、结果应用等内容。</w:t>
      </w:r>
    </w:p>
    <w:p>
      <w:pPr>
        <w:pStyle w:val="55"/>
        <w:ind w:firstLine="420"/>
      </w:pPr>
      <w:r>
        <w:rPr>
          <w:rFonts w:hint="eastAsia"/>
        </w:rPr>
        <w:t>企业主要负责人应每年进行安全述职，并将其作为履职评价的重要内容。</w:t>
      </w:r>
    </w:p>
    <w:p>
      <w:pPr>
        <w:pStyle w:val="55"/>
        <w:ind w:firstLine="420"/>
      </w:pPr>
      <w:r>
        <w:rPr>
          <w:rFonts w:hint="eastAsia"/>
        </w:rPr>
        <w:t>安全履职评价结果应纳入绩效评价，可作为任免、晋升、评优等重要依据。</w:t>
      </w:r>
    </w:p>
    <w:p>
      <w:pPr>
        <w:pStyle w:val="93"/>
        <w:spacing w:before="312" w:after="312"/>
      </w:pPr>
      <w:bookmarkStart w:id="100" w:name="_Toc29555"/>
      <w:bookmarkStart w:id="101" w:name="_Toc5868"/>
      <w:bookmarkStart w:id="102" w:name="_Toc186118209"/>
      <w:bookmarkStart w:id="103" w:name="_Toc21475"/>
      <w:bookmarkStart w:id="104" w:name="_Toc226"/>
      <w:r>
        <w:rPr>
          <w:rFonts w:hint="eastAsia"/>
        </w:rPr>
        <w:t>基础保障</w:t>
      </w:r>
      <w:bookmarkEnd w:id="100"/>
      <w:bookmarkEnd w:id="101"/>
      <w:bookmarkEnd w:id="102"/>
      <w:bookmarkEnd w:id="103"/>
      <w:bookmarkEnd w:id="104"/>
    </w:p>
    <w:p>
      <w:pPr>
        <w:pStyle w:val="92"/>
        <w:spacing w:before="156" w:after="156"/>
      </w:pPr>
      <w:bookmarkStart w:id="105" w:name="_Toc3931"/>
      <w:bookmarkStart w:id="106" w:name="_Toc8283"/>
      <w:bookmarkStart w:id="107" w:name="_Toc3904"/>
      <w:bookmarkStart w:id="108" w:name="_Toc292"/>
      <w:bookmarkStart w:id="109" w:name="_Toc186118210"/>
      <w:r>
        <w:rPr>
          <w:rFonts w:hint="eastAsia"/>
        </w:rPr>
        <w:t>组织保障</w:t>
      </w:r>
      <w:bookmarkEnd w:id="105"/>
      <w:bookmarkEnd w:id="106"/>
      <w:bookmarkEnd w:id="107"/>
      <w:bookmarkEnd w:id="108"/>
      <w:bookmarkEnd w:id="109"/>
    </w:p>
    <w:p>
      <w:pPr>
        <w:pStyle w:val="121"/>
        <w:spacing w:before="156" w:after="156"/>
      </w:pPr>
      <w:r>
        <w:rPr>
          <w:rFonts w:hint="eastAsia"/>
        </w:rPr>
        <w:t>安全生产委员会</w:t>
      </w:r>
    </w:p>
    <w:p>
      <w:pPr>
        <w:pStyle w:val="55"/>
        <w:ind w:firstLine="420"/>
      </w:pPr>
      <w:r>
        <w:rPr>
          <w:rFonts w:hint="eastAsia"/>
        </w:rPr>
        <w:t>企业应成立安全生产委员会，负责统一领导和组织安全生产工作。</w:t>
      </w:r>
    </w:p>
    <w:p>
      <w:pPr>
        <w:pStyle w:val="55"/>
        <w:ind w:firstLine="420"/>
      </w:pPr>
      <w:r>
        <w:rPr>
          <w:rFonts w:hint="eastAsia"/>
        </w:rPr>
        <w:t>应定期召开安全生产委员会会议。</w:t>
      </w:r>
    </w:p>
    <w:p>
      <w:pPr>
        <w:pStyle w:val="55"/>
        <w:ind w:firstLine="420"/>
      </w:pPr>
      <w:r>
        <w:rPr>
          <w:rFonts w:hint="eastAsia"/>
        </w:rPr>
        <w:t>安全生产委员会应履行以下职责：</w:t>
      </w:r>
    </w:p>
    <w:p>
      <w:pPr>
        <w:pStyle w:val="137"/>
        <w:numPr>
          <w:ilvl w:val="0"/>
          <w:numId w:val="37"/>
        </w:numPr>
      </w:pPr>
      <w:r>
        <w:rPr>
          <w:rFonts w:hint="eastAsia"/>
        </w:rPr>
        <w:t>学习贯彻落实各级政府、上级单位的决策部署；</w:t>
      </w:r>
    </w:p>
    <w:p>
      <w:pPr>
        <w:pStyle w:val="137"/>
        <w:numPr>
          <w:ilvl w:val="0"/>
          <w:numId w:val="37"/>
        </w:numPr>
      </w:pPr>
      <w:r>
        <w:rPr>
          <w:rFonts w:hint="eastAsia"/>
        </w:rPr>
        <w:t>研究审议安全生产目标、任务；</w:t>
      </w:r>
    </w:p>
    <w:p>
      <w:pPr>
        <w:pStyle w:val="137"/>
        <w:numPr>
          <w:ilvl w:val="0"/>
          <w:numId w:val="37"/>
        </w:numPr>
      </w:pPr>
      <w:r>
        <w:rPr>
          <w:rFonts w:hint="eastAsia"/>
        </w:rPr>
        <w:t>研究审议安全生产管理制度；</w:t>
      </w:r>
    </w:p>
    <w:p>
      <w:pPr>
        <w:pStyle w:val="137"/>
        <w:numPr>
          <w:ilvl w:val="0"/>
          <w:numId w:val="37"/>
        </w:numPr>
      </w:pPr>
      <w:r>
        <w:rPr>
          <w:rFonts w:hint="eastAsia"/>
        </w:rPr>
        <w:t>听取成员单位工作汇报，协调安全生产重大问题；</w:t>
      </w:r>
    </w:p>
    <w:p>
      <w:pPr>
        <w:pStyle w:val="137"/>
        <w:numPr>
          <w:ilvl w:val="0"/>
          <w:numId w:val="37"/>
        </w:numPr>
      </w:pPr>
      <w:r>
        <w:rPr>
          <w:rFonts w:hint="eastAsia"/>
        </w:rPr>
        <w:t>研究重大安全风险管控措施和需督办的重大事故隐患；</w:t>
      </w:r>
    </w:p>
    <w:p>
      <w:pPr>
        <w:pStyle w:val="137"/>
        <w:numPr>
          <w:ilvl w:val="0"/>
          <w:numId w:val="37"/>
        </w:numPr>
      </w:pPr>
      <w:r>
        <w:rPr>
          <w:rFonts w:hint="eastAsia"/>
        </w:rPr>
        <w:t>研究安全生产绩效评价和奖惩方案；</w:t>
      </w:r>
    </w:p>
    <w:p>
      <w:pPr>
        <w:pStyle w:val="137"/>
        <w:numPr>
          <w:ilvl w:val="0"/>
          <w:numId w:val="37"/>
        </w:numPr>
      </w:pPr>
      <w:r>
        <w:rPr>
          <w:rFonts w:hint="eastAsia"/>
        </w:rPr>
        <w:t>研究审议安全生产合规评价结果。</w:t>
      </w:r>
    </w:p>
    <w:p>
      <w:pPr>
        <w:pStyle w:val="55"/>
        <w:ind w:firstLine="420"/>
      </w:pPr>
      <w:r>
        <w:rPr>
          <w:rFonts w:hint="eastAsia"/>
        </w:rPr>
        <w:t>安全生产委员会主任应由企业主要负责人担任，成员至少包括安全生产管理机构、业务部门和工会等。应设立安全生产委员会办公室，负责安全生产委员会日常工作。</w:t>
      </w:r>
    </w:p>
    <w:p>
      <w:pPr>
        <w:pStyle w:val="121"/>
        <w:spacing w:before="156" w:after="156"/>
      </w:pPr>
      <w:r>
        <w:rPr>
          <w:rFonts w:hint="eastAsia"/>
        </w:rPr>
        <w:t>安全生产管理机构</w:t>
      </w:r>
    </w:p>
    <w:p>
      <w:pPr>
        <w:pStyle w:val="55"/>
        <w:ind w:firstLine="420"/>
      </w:pPr>
      <w:r>
        <w:rPr>
          <w:rFonts w:hint="eastAsia"/>
        </w:rPr>
        <w:t>企业应按规定设置安全生产管理机构，发挥统筹、协调、指导和监督作用，加强考核巡查，督促各部门安全生产责任落实。</w:t>
      </w:r>
    </w:p>
    <w:p>
      <w:pPr>
        <w:pStyle w:val="55"/>
        <w:ind w:firstLine="420"/>
      </w:pPr>
      <w:r>
        <w:rPr>
          <w:rFonts w:hint="eastAsia"/>
        </w:rPr>
        <w:t>应明确安全生产管理人员任职资格、要求和数量，按要求配备专职或兼职的安全生产管理人员，按规定配备注册安全工程师。</w:t>
      </w:r>
    </w:p>
    <w:p>
      <w:pPr>
        <w:pStyle w:val="121"/>
        <w:spacing w:before="156" w:after="156"/>
      </w:pPr>
      <w:r>
        <w:rPr>
          <w:rFonts w:hint="eastAsia"/>
        </w:rPr>
        <w:t>业务部门</w:t>
      </w:r>
    </w:p>
    <w:p>
      <w:pPr>
        <w:pStyle w:val="55"/>
        <w:ind w:firstLine="420"/>
      </w:pPr>
      <w:r>
        <w:rPr>
          <w:rFonts w:hint="eastAsia"/>
        </w:rPr>
        <w:t>企业应明确各业务部门的具体安全生产管理职责。</w:t>
      </w:r>
    </w:p>
    <w:p>
      <w:pPr>
        <w:pStyle w:val="55"/>
        <w:ind w:firstLine="420"/>
      </w:pPr>
      <w:r>
        <w:rPr>
          <w:rFonts w:hint="eastAsia"/>
        </w:rPr>
        <w:t>业务部门应将安全生产管理职责分解到相应岗位，将安全生产工作融入本部门业务决策、执行和监督的全过程。</w:t>
      </w:r>
    </w:p>
    <w:p>
      <w:pPr>
        <w:pStyle w:val="121"/>
        <w:spacing w:before="156" w:after="156"/>
      </w:pPr>
      <w:r>
        <w:rPr>
          <w:rFonts w:hint="eastAsia"/>
        </w:rPr>
        <w:t>班组</w:t>
      </w:r>
    </w:p>
    <w:p>
      <w:pPr>
        <w:pStyle w:val="55"/>
        <w:ind w:firstLine="420"/>
      </w:pPr>
      <w:r>
        <w:rPr>
          <w:rFonts w:hint="eastAsia"/>
        </w:rPr>
        <w:t>企业应加强班组建设，按规定开展安全培训、操作技能训练、岗位作业安全风险管控、作业现场隐患排查治理、事故和未遂事故分析等工作，发挥班组在安全生产中的基础支撑作用。</w:t>
      </w:r>
    </w:p>
    <w:p>
      <w:pPr>
        <w:pStyle w:val="55"/>
        <w:ind w:firstLine="420"/>
      </w:pPr>
      <w:r>
        <w:rPr>
          <w:rFonts w:hint="eastAsia"/>
        </w:rPr>
        <w:t>宜建立班组长的选聘、培养、考核、激励和退出机制，提高班组长的综合素质与能力。</w:t>
      </w:r>
    </w:p>
    <w:p>
      <w:pPr>
        <w:pStyle w:val="92"/>
        <w:spacing w:before="156" w:after="156"/>
      </w:pPr>
      <w:bookmarkStart w:id="110" w:name="_Toc13329"/>
      <w:bookmarkStart w:id="111" w:name="_Toc4940"/>
      <w:bookmarkStart w:id="112" w:name="_Toc186118211"/>
      <w:bookmarkStart w:id="113" w:name="_Toc978"/>
      <w:bookmarkStart w:id="114" w:name="_Toc19573"/>
      <w:r>
        <w:rPr>
          <w:rFonts w:hint="eastAsia"/>
        </w:rPr>
        <w:t>责任保障</w:t>
      </w:r>
      <w:bookmarkEnd w:id="110"/>
      <w:bookmarkEnd w:id="111"/>
      <w:bookmarkEnd w:id="112"/>
      <w:bookmarkEnd w:id="113"/>
      <w:bookmarkEnd w:id="114"/>
    </w:p>
    <w:p>
      <w:pPr>
        <w:pStyle w:val="55"/>
        <w:ind w:firstLine="420"/>
      </w:pPr>
      <w:r>
        <w:rPr>
          <w:rFonts w:hint="eastAsia"/>
        </w:rPr>
        <w:t>企业应建立全员安全生产责任制，明确各层级、各岗位的责任范围和考核标准等内容，并按规定进行培训和公示。</w:t>
      </w:r>
    </w:p>
    <w:p>
      <w:pPr>
        <w:pStyle w:val="55"/>
        <w:ind w:firstLine="420"/>
      </w:pPr>
      <w:r>
        <w:rPr>
          <w:rFonts w:hint="eastAsia"/>
        </w:rPr>
        <w:t>全员安全生产责任制内容应简明扼要、清晰明确、便于操作，并适时更新。</w:t>
      </w:r>
    </w:p>
    <w:p>
      <w:pPr>
        <w:pStyle w:val="55"/>
        <w:ind w:firstLine="420"/>
      </w:pPr>
      <w:r>
        <w:rPr>
          <w:rFonts w:hint="eastAsia"/>
        </w:rPr>
        <w:t>企业应定期对全员安全生产责任制的落实情况进行监督考核，保证全员安全生产责任制的落实。</w:t>
      </w:r>
    </w:p>
    <w:p>
      <w:pPr>
        <w:pStyle w:val="92"/>
        <w:spacing w:before="156" w:after="156"/>
      </w:pPr>
      <w:bookmarkStart w:id="115" w:name="_Toc7440"/>
      <w:bookmarkStart w:id="116" w:name="_Toc9258"/>
      <w:bookmarkStart w:id="117" w:name="_Toc3446"/>
      <w:bookmarkStart w:id="118" w:name="_Toc186118212"/>
      <w:bookmarkStart w:id="119" w:name="_Toc10825"/>
      <w:r>
        <w:rPr>
          <w:rFonts w:hint="eastAsia"/>
        </w:rPr>
        <w:t>制度保障</w:t>
      </w:r>
      <w:bookmarkEnd w:id="115"/>
      <w:bookmarkEnd w:id="116"/>
      <w:bookmarkEnd w:id="117"/>
      <w:bookmarkEnd w:id="118"/>
      <w:bookmarkEnd w:id="119"/>
    </w:p>
    <w:p>
      <w:pPr>
        <w:pStyle w:val="121"/>
        <w:spacing w:before="156" w:after="156"/>
      </w:pPr>
      <w:r>
        <w:rPr>
          <w:rFonts w:hint="eastAsia"/>
        </w:rPr>
        <w:t>文件管理</w:t>
      </w:r>
    </w:p>
    <w:p>
      <w:pPr>
        <w:pStyle w:val="55"/>
        <w:ind w:firstLine="420"/>
      </w:pPr>
      <w:r>
        <w:rPr>
          <w:rFonts w:hint="eastAsia"/>
        </w:rPr>
        <w:t>企业应明确安全生产相关文件的编制、评审、发布、使用、修订、归档、保存、废止等管理要求。</w:t>
      </w:r>
    </w:p>
    <w:p>
      <w:pPr>
        <w:pStyle w:val="55"/>
        <w:ind w:firstLine="420"/>
      </w:pPr>
      <w:r>
        <w:rPr>
          <w:rFonts w:hint="eastAsia"/>
        </w:rPr>
        <w:t>安全生产相关文件包括但不限于以下内容：</w:t>
      </w:r>
    </w:p>
    <w:p>
      <w:pPr>
        <w:pStyle w:val="137"/>
        <w:numPr>
          <w:ilvl w:val="0"/>
          <w:numId w:val="38"/>
        </w:numPr>
      </w:pPr>
      <w:r>
        <w:rPr>
          <w:rFonts w:hint="eastAsia"/>
        </w:rPr>
        <w:t>安全生产管理相关的规定、办法、制度、细则、指导意见、指引等；</w:t>
      </w:r>
    </w:p>
    <w:p>
      <w:pPr>
        <w:pStyle w:val="137"/>
        <w:numPr>
          <w:ilvl w:val="0"/>
          <w:numId w:val="38"/>
        </w:numPr>
      </w:pPr>
      <w:r>
        <w:rPr>
          <w:rFonts w:hint="eastAsia"/>
        </w:rPr>
        <w:t>安全生产技术相关的规程、标准、图纸、清单、应急预案等；</w:t>
      </w:r>
    </w:p>
    <w:p>
      <w:pPr>
        <w:pStyle w:val="137"/>
        <w:numPr>
          <w:ilvl w:val="0"/>
          <w:numId w:val="38"/>
        </w:numPr>
      </w:pPr>
      <w:r>
        <w:rPr>
          <w:rFonts w:hint="eastAsia"/>
        </w:rPr>
        <w:t>安全生产相关记录等。</w:t>
      </w:r>
    </w:p>
    <w:p>
      <w:pPr>
        <w:pStyle w:val="55"/>
        <w:ind w:firstLine="420"/>
      </w:pPr>
      <w:r>
        <w:rPr>
          <w:rFonts w:hint="eastAsia"/>
        </w:rPr>
        <w:t>企业应定期评估安全生产相关文件的适宜性、充分性和执行情况，及时更新，保持有效状态，并确保从业人员及时获取。</w:t>
      </w:r>
    </w:p>
    <w:p>
      <w:pPr>
        <w:pStyle w:val="121"/>
        <w:spacing w:before="156" w:after="156"/>
      </w:pPr>
      <w:r>
        <w:rPr>
          <w:rFonts w:hint="eastAsia"/>
        </w:rPr>
        <w:t>规章制度</w:t>
      </w:r>
    </w:p>
    <w:p>
      <w:pPr>
        <w:pStyle w:val="55"/>
        <w:ind w:firstLine="420"/>
      </w:pPr>
      <w:r>
        <w:rPr>
          <w:rFonts w:hint="eastAsia"/>
        </w:rPr>
        <w:t>企业应建立健全安全生产规章制度，规范安全生产管理工作。</w:t>
      </w:r>
    </w:p>
    <w:p>
      <w:pPr>
        <w:pStyle w:val="55"/>
        <w:ind w:firstLine="420"/>
      </w:pPr>
      <w:r>
        <w:rPr>
          <w:rFonts w:hint="eastAsia"/>
        </w:rPr>
        <w:t>制定规章制度时应考虑：</w:t>
      </w:r>
    </w:p>
    <w:p>
      <w:pPr>
        <w:pStyle w:val="137"/>
        <w:numPr>
          <w:ilvl w:val="0"/>
          <w:numId w:val="39"/>
        </w:numPr>
      </w:pPr>
      <w:r>
        <w:rPr>
          <w:rFonts w:hint="eastAsia"/>
        </w:rPr>
        <w:t>安全生产相关法律法规、标准规范和其他要求；</w:t>
      </w:r>
    </w:p>
    <w:p>
      <w:pPr>
        <w:pStyle w:val="137"/>
        <w:numPr>
          <w:ilvl w:val="0"/>
          <w:numId w:val="39"/>
        </w:numPr>
      </w:pPr>
      <w:r>
        <w:rPr>
          <w:rFonts w:hint="eastAsia"/>
        </w:rPr>
        <w:t>与企业现行管理制度相融合；</w:t>
      </w:r>
    </w:p>
    <w:p>
      <w:pPr>
        <w:pStyle w:val="137"/>
        <w:numPr>
          <w:ilvl w:val="0"/>
          <w:numId w:val="39"/>
        </w:numPr>
      </w:pPr>
      <w:r>
        <w:rPr>
          <w:rFonts w:hint="eastAsia"/>
        </w:rPr>
        <w:t>本企业安全生产实际；</w:t>
      </w:r>
    </w:p>
    <w:p>
      <w:pPr>
        <w:pStyle w:val="137"/>
        <w:numPr>
          <w:ilvl w:val="0"/>
          <w:numId w:val="39"/>
        </w:numPr>
      </w:pPr>
      <w:r>
        <w:rPr>
          <w:rFonts w:hint="eastAsia"/>
        </w:rPr>
        <w:t>工会及从业人员意见和建议。</w:t>
      </w:r>
    </w:p>
    <w:p>
      <w:pPr>
        <w:pStyle w:val="121"/>
        <w:spacing w:before="156" w:after="156"/>
      </w:pPr>
      <w:r>
        <w:rPr>
          <w:rFonts w:hint="eastAsia"/>
        </w:rPr>
        <w:t>操作规程</w:t>
      </w:r>
    </w:p>
    <w:p>
      <w:pPr>
        <w:pStyle w:val="55"/>
        <w:ind w:firstLine="420"/>
      </w:pPr>
      <w:r>
        <w:rPr>
          <w:rFonts w:hint="eastAsia"/>
        </w:rPr>
        <w:t>制定操作规程时应考虑：</w:t>
      </w:r>
    </w:p>
    <w:p>
      <w:pPr>
        <w:pStyle w:val="137"/>
        <w:numPr>
          <w:ilvl w:val="0"/>
          <w:numId w:val="40"/>
        </w:numPr>
      </w:pPr>
      <w:r>
        <w:rPr>
          <w:rFonts w:hint="eastAsia"/>
        </w:rPr>
        <w:t>安全生产相关法律法规、标准规范和其他要求；</w:t>
      </w:r>
    </w:p>
    <w:p>
      <w:pPr>
        <w:pStyle w:val="137"/>
        <w:numPr>
          <w:ilvl w:val="0"/>
          <w:numId w:val="40"/>
        </w:numPr>
      </w:pPr>
      <w:r>
        <w:rPr>
          <w:rFonts w:hint="eastAsia"/>
        </w:rPr>
        <w:t>工艺技术、作业任务、设备设施的特点与工作质量要求；</w:t>
      </w:r>
    </w:p>
    <w:p>
      <w:pPr>
        <w:pStyle w:val="137"/>
        <w:numPr>
          <w:ilvl w:val="0"/>
          <w:numId w:val="40"/>
        </w:numPr>
      </w:pPr>
      <w:r>
        <w:rPr>
          <w:rFonts w:hint="eastAsia"/>
        </w:rPr>
        <w:t>危险源辨识和风险评估结果；</w:t>
      </w:r>
    </w:p>
    <w:p>
      <w:pPr>
        <w:pStyle w:val="137"/>
        <w:numPr>
          <w:ilvl w:val="0"/>
          <w:numId w:val="40"/>
        </w:numPr>
      </w:pPr>
      <w:r>
        <w:rPr>
          <w:rFonts w:hint="eastAsia"/>
        </w:rPr>
        <w:t>发生过的事故和未遂事故；</w:t>
      </w:r>
    </w:p>
    <w:p>
      <w:pPr>
        <w:pStyle w:val="137"/>
        <w:numPr>
          <w:ilvl w:val="0"/>
          <w:numId w:val="40"/>
        </w:numPr>
      </w:pPr>
      <w:r>
        <w:rPr>
          <w:rFonts w:hint="eastAsia"/>
        </w:rPr>
        <w:t>从业人员的意见与建议。</w:t>
      </w:r>
    </w:p>
    <w:p>
      <w:pPr>
        <w:pStyle w:val="55"/>
        <w:ind w:firstLine="420"/>
      </w:pPr>
      <w:r>
        <w:rPr>
          <w:rFonts w:hint="eastAsia"/>
        </w:rPr>
        <w:t>企业应在新工艺、新技术、新材料、新设备投入使用前，组织制修订相应的操作规程。</w:t>
      </w:r>
    </w:p>
    <w:p>
      <w:pPr>
        <w:pStyle w:val="92"/>
        <w:spacing w:before="156" w:after="156"/>
      </w:pPr>
      <w:bookmarkStart w:id="120" w:name="_Toc11817"/>
      <w:bookmarkStart w:id="121" w:name="_Toc10076"/>
      <w:bookmarkStart w:id="122" w:name="_Toc186118213"/>
      <w:bookmarkStart w:id="123" w:name="_Toc1831"/>
      <w:bookmarkStart w:id="124" w:name="_Toc15010"/>
      <w:r>
        <w:rPr>
          <w:rFonts w:hint="eastAsia"/>
        </w:rPr>
        <w:t>资金保障</w:t>
      </w:r>
      <w:bookmarkEnd w:id="120"/>
      <w:bookmarkEnd w:id="121"/>
      <w:bookmarkEnd w:id="122"/>
      <w:bookmarkEnd w:id="123"/>
      <w:bookmarkEnd w:id="124"/>
    </w:p>
    <w:p>
      <w:pPr>
        <w:pStyle w:val="55"/>
        <w:ind w:firstLine="420"/>
      </w:pPr>
      <w:r>
        <w:rPr>
          <w:rFonts w:hint="eastAsia"/>
        </w:rPr>
        <w:t>企业应保障安全生产资金投入，并纳入预算管理。</w:t>
      </w:r>
    </w:p>
    <w:p>
      <w:pPr>
        <w:pStyle w:val="55"/>
        <w:ind w:firstLine="420"/>
      </w:pPr>
      <w:r>
        <w:rPr>
          <w:rFonts w:hint="eastAsia"/>
        </w:rPr>
        <w:t>应足额提取、规范使用安全生产费用，并建立管理台账。</w:t>
      </w:r>
    </w:p>
    <w:p>
      <w:pPr>
        <w:pStyle w:val="55"/>
        <w:ind w:firstLine="420"/>
      </w:pPr>
      <w:r>
        <w:rPr>
          <w:rFonts w:hint="eastAsia"/>
        </w:rPr>
        <w:t>应按规定为从业人员投保工伤保险、安全生产责任保险等相关保险。</w:t>
      </w:r>
    </w:p>
    <w:p>
      <w:pPr>
        <w:pStyle w:val="92"/>
        <w:spacing w:before="156" w:after="156"/>
      </w:pPr>
      <w:bookmarkStart w:id="125" w:name="_Toc5976"/>
      <w:bookmarkStart w:id="126" w:name="_Toc186118214"/>
      <w:bookmarkStart w:id="127" w:name="_Toc12648"/>
      <w:bookmarkStart w:id="128" w:name="_Toc11606"/>
      <w:bookmarkStart w:id="129" w:name="_Toc4228"/>
      <w:r>
        <w:rPr>
          <w:rFonts w:hint="eastAsia"/>
        </w:rPr>
        <w:t>科技保障</w:t>
      </w:r>
      <w:bookmarkEnd w:id="125"/>
      <w:bookmarkEnd w:id="126"/>
      <w:bookmarkEnd w:id="127"/>
      <w:bookmarkEnd w:id="128"/>
      <w:bookmarkEnd w:id="129"/>
    </w:p>
    <w:p>
      <w:pPr>
        <w:pStyle w:val="55"/>
        <w:ind w:firstLine="420"/>
      </w:pPr>
      <w:r>
        <w:rPr>
          <w:rFonts w:hint="eastAsia"/>
        </w:rPr>
        <w:t>企业应根据自身实际情况，开展安全生产科学技术研究，推广应用安全生产先进技术，推进老旧设施升级改造，提高企业本质安全化水平。</w:t>
      </w:r>
    </w:p>
    <w:p>
      <w:pPr>
        <w:pStyle w:val="92"/>
        <w:spacing w:before="156" w:after="156"/>
      </w:pPr>
      <w:bookmarkStart w:id="130" w:name="_Toc186118215"/>
      <w:bookmarkStart w:id="131" w:name="_Toc8070"/>
      <w:bookmarkStart w:id="132" w:name="_Toc599"/>
      <w:bookmarkStart w:id="133" w:name="_Toc22398"/>
      <w:bookmarkStart w:id="134" w:name="_Toc11465"/>
      <w:r>
        <w:rPr>
          <w:rFonts w:hint="eastAsia"/>
        </w:rPr>
        <w:t>数智保障</w:t>
      </w:r>
      <w:bookmarkEnd w:id="130"/>
      <w:bookmarkEnd w:id="131"/>
      <w:bookmarkEnd w:id="132"/>
      <w:bookmarkEnd w:id="133"/>
      <w:bookmarkEnd w:id="134"/>
    </w:p>
    <w:p>
      <w:pPr>
        <w:pStyle w:val="55"/>
        <w:ind w:firstLine="420"/>
      </w:pPr>
      <w:r>
        <w:rPr>
          <w:rFonts w:hint="eastAsia"/>
        </w:rPr>
        <w:t>企业应利用现代信息手段，实现安全生产台账管理、安全风险分级管控、隐患排查治理、应急管理等信息化功能。</w:t>
      </w:r>
    </w:p>
    <w:p>
      <w:pPr>
        <w:pStyle w:val="55"/>
        <w:ind w:firstLine="420"/>
      </w:pPr>
      <w:r>
        <w:rPr>
          <w:rFonts w:hint="eastAsia"/>
        </w:rPr>
        <w:t>宜应用人工智能、大数据、物联网等技术，实现安全风险隐患的智能识别、快速感知、实时监测、超前预警等功能，推进危险岗位无人值守或机器人作业。</w:t>
      </w:r>
    </w:p>
    <w:p>
      <w:pPr>
        <w:pStyle w:val="93"/>
        <w:spacing w:before="312" w:after="312"/>
      </w:pPr>
      <w:bookmarkStart w:id="135" w:name="_Toc6615"/>
      <w:bookmarkStart w:id="136" w:name="_Toc186118216"/>
      <w:bookmarkStart w:id="137" w:name="_Toc9775"/>
      <w:bookmarkStart w:id="138" w:name="_Toc30266"/>
      <w:bookmarkStart w:id="139" w:name="_Toc25663"/>
      <w:r>
        <w:rPr>
          <w:rFonts w:hint="eastAsia"/>
        </w:rPr>
        <w:t>总体策划</w:t>
      </w:r>
      <w:bookmarkEnd w:id="135"/>
      <w:bookmarkEnd w:id="136"/>
      <w:bookmarkEnd w:id="137"/>
      <w:bookmarkEnd w:id="138"/>
      <w:bookmarkEnd w:id="139"/>
    </w:p>
    <w:p>
      <w:pPr>
        <w:pStyle w:val="92"/>
        <w:spacing w:before="156" w:after="156"/>
      </w:pPr>
      <w:bookmarkStart w:id="140" w:name="_Toc3584"/>
      <w:bookmarkStart w:id="141" w:name="_Toc2128"/>
      <w:bookmarkStart w:id="142" w:name="_Toc6030"/>
      <w:bookmarkStart w:id="143" w:name="_Toc17640"/>
      <w:bookmarkStart w:id="144" w:name="_Toc186118217"/>
      <w:r>
        <w:rPr>
          <w:rFonts w:hint="eastAsia"/>
        </w:rPr>
        <w:t>理念</w:t>
      </w:r>
      <w:bookmarkEnd w:id="140"/>
      <w:bookmarkEnd w:id="141"/>
      <w:bookmarkEnd w:id="142"/>
      <w:bookmarkEnd w:id="143"/>
      <w:bookmarkEnd w:id="144"/>
    </w:p>
    <w:p>
      <w:pPr>
        <w:pStyle w:val="55"/>
        <w:ind w:firstLine="420"/>
      </w:pPr>
      <w:r>
        <w:rPr>
          <w:rFonts w:hint="eastAsia"/>
        </w:rPr>
        <w:t>企业应坚持人民至上、生命至上，树牢安全发展理念。</w:t>
      </w:r>
    </w:p>
    <w:p>
      <w:pPr>
        <w:pStyle w:val="55"/>
        <w:ind w:firstLine="420"/>
      </w:pPr>
      <w:r>
        <w:rPr>
          <w:rFonts w:hint="eastAsia"/>
        </w:rPr>
        <w:t>应根据安全生产政策、法律法规、标准规范和管理实践，总结凝练形成本企业安全理念，培育具有特色的安全文化。</w:t>
      </w:r>
    </w:p>
    <w:p>
      <w:pPr>
        <w:pStyle w:val="55"/>
        <w:ind w:firstLine="420"/>
      </w:pPr>
      <w:r>
        <w:rPr>
          <w:rFonts w:hint="eastAsia"/>
        </w:rPr>
        <w:t>安全理念应体现以下内容：</w:t>
      </w:r>
    </w:p>
    <w:p>
      <w:pPr>
        <w:pStyle w:val="137"/>
        <w:numPr>
          <w:ilvl w:val="0"/>
          <w:numId w:val="41"/>
        </w:numPr>
      </w:pPr>
      <w:r>
        <w:rPr>
          <w:rFonts w:hint="eastAsia"/>
        </w:rPr>
        <w:t>安全</w:t>
      </w:r>
      <w:r>
        <w:rPr>
          <w:rFonts w:hint="eastAsia"/>
          <w:shd w:val="clear" w:color="auto" w:fill="FFFFFF"/>
        </w:rPr>
        <w:t>第一、</w:t>
      </w:r>
      <w:r>
        <w:rPr>
          <w:rFonts w:hint="eastAsia"/>
        </w:rPr>
        <w:t>预防为主、综合治理的方针；</w:t>
      </w:r>
    </w:p>
    <w:p>
      <w:pPr>
        <w:pStyle w:val="137"/>
        <w:numPr>
          <w:ilvl w:val="0"/>
          <w:numId w:val="41"/>
        </w:numPr>
      </w:pPr>
      <w:r>
        <w:rPr>
          <w:rFonts w:hint="eastAsia"/>
        </w:rPr>
        <w:t>企业发展战略；</w:t>
      </w:r>
    </w:p>
    <w:p>
      <w:pPr>
        <w:pStyle w:val="137"/>
        <w:numPr>
          <w:ilvl w:val="0"/>
          <w:numId w:val="41"/>
        </w:numPr>
      </w:pPr>
      <w:r>
        <w:rPr>
          <w:rFonts w:hint="eastAsia"/>
        </w:rPr>
        <w:t>风险管理策略；</w:t>
      </w:r>
    </w:p>
    <w:p>
      <w:pPr>
        <w:pStyle w:val="137"/>
        <w:numPr>
          <w:ilvl w:val="0"/>
          <w:numId w:val="41"/>
        </w:numPr>
      </w:pPr>
      <w:r>
        <w:rPr>
          <w:rFonts w:hint="eastAsia"/>
        </w:rPr>
        <w:t>从业人员获得感、幸福感、安全感。</w:t>
      </w:r>
    </w:p>
    <w:p>
      <w:pPr>
        <w:pStyle w:val="55"/>
        <w:ind w:firstLine="420"/>
      </w:pPr>
      <w:r>
        <w:rPr>
          <w:rFonts w:hint="eastAsia"/>
        </w:rPr>
        <w:t>企业应通过多种渠道、方式向从业人员和相关方宣贯安全理念，使其理解、认同、践行，并贯穿于生产经营活动全过程。</w:t>
      </w:r>
    </w:p>
    <w:p>
      <w:pPr>
        <w:pStyle w:val="55"/>
        <w:ind w:firstLine="420"/>
      </w:pPr>
      <w:r>
        <w:rPr>
          <w:rFonts w:hint="eastAsia"/>
        </w:rPr>
        <w:t>应根据发展变化，适时更新安全理念。</w:t>
      </w:r>
    </w:p>
    <w:p>
      <w:pPr>
        <w:pStyle w:val="92"/>
        <w:spacing w:before="156" w:after="156"/>
      </w:pPr>
      <w:bookmarkStart w:id="145" w:name="_Toc4648"/>
      <w:bookmarkStart w:id="146" w:name="_Toc13811"/>
      <w:bookmarkStart w:id="147" w:name="_Toc21593"/>
      <w:bookmarkStart w:id="148" w:name="_Toc186118218"/>
      <w:bookmarkStart w:id="149" w:name="_Toc8873"/>
      <w:r>
        <w:rPr>
          <w:rFonts w:hint="eastAsia"/>
        </w:rPr>
        <w:t>目标</w:t>
      </w:r>
      <w:bookmarkEnd w:id="145"/>
      <w:bookmarkEnd w:id="146"/>
      <w:bookmarkEnd w:id="147"/>
      <w:bookmarkEnd w:id="148"/>
      <w:bookmarkEnd w:id="149"/>
    </w:p>
    <w:p>
      <w:pPr>
        <w:pStyle w:val="55"/>
        <w:ind w:firstLine="420"/>
      </w:pPr>
      <w:r>
        <w:rPr>
          <w:rFonts w:hint="eastAsia"/>
        </w:rPr>
        <w:t>企业应明确安全生产目标的制定、分解、实施、检查、考核等管理要求。</w:t>
      </w:r>
    </w:p>
    <w:p>
      <w:pPr>
        <w:pStyle w:val="55"/>
        <w:ind w:firstLine="420"/>
      </w:pPr>
      <w:r>
        <w:rPr>
          <w:rFonts w:hint="eastAsia"/>
        </w:rPr>
        <w:t>目标制定时应遵循定性与定量、过程与结果相结合的原则，至少考虑：</w:t>
      </w:r>
    </w:p>
    <w:p>
      <w:pPr>
        <w:pStyle w:val="137"/>
        <w:numPr>
          <w:ilvl w:val="0"/>
          <w:numId w:val="42"/>
        </w:numPr>
      </w:pPr>
      <w:r>
        <w:rPr>
          <w:rFonts w:hint="eastAsia"/>
        </w:rPr>
        <w:t>安全生产相关法律法规、标准规范要求和其他要求；</w:t>
      </w:r>
    </w:p>
    <w:p>
      <w:pPr>
        <w:pStyle w:val="137"/>
        <w:numPr>
          <w:ilvl w:val="0"/>
          <w:numId w:val="42"/>
        </w:numPr>
      </w:pPr>
      <w:r>
        <w:rPr>
          <w:rFonts w:hint="eastAsia"/>
        </w:rPr>
        <w:t>行业发展特点及趋势；</w:t>
      </w:r>
    </w:p>
    <w:p>
      <w:pPr>
        <w:pStyle w:val="137"/>
        <w:numPr>
          <w:ilvl w:val="0"/>
          <w:numId w:val="42"/>
        </w:numPr>
      </w:pPr>
      <w:r>
        <w:rPr>
          <w:rFonts w:hint="eastAsia"/>
        </w:rPr>
        <w:t>企业安全理念；</w:t>
      </w:r>
    </w:p>
    <w:p>
      <w:pPr>
        <w:pStyle w:val="137"/>
        <w:numPr>
          <w:ilvl w:val="0"/>
          <w:numId w:val="42"/>
        </w:numPr>
      </w:pPr>
      <w:r>
        <w:rPr>
          <w:rFonts w:hint="eastAsia"/>
        </w:rPr>
        <w:t>安全风险管控和隐患排查治理要求；</w:t>
      </w:r>
    </w:p>
    <w:p>
      <w:pPr>
        <w:pStyle w:val="137"/>
        <w:numPr>
          <w:ilvl w:val="0"/>
          <w:numId w:val="42"/>
        </w:numPr>
      </w:pPr>
      <w:r>
        <w:rPr>
          <w:rFonts w:hint="eastAsia"/>
        </w:rPr>
        <w:t>以往安全生产绩效。</w:t>
      </w:r>
    </w:p>
    <w:p>
      <w:pPr>
        <w:pStyle w:val="55"/>
        <w:ind w:firstLine="420"/>
      </w:pPr>
      <w:r>
        <w:rPr>
          <w:rFonts w:hint="eastAsia"/>
        </w:rPr>
        <w:t>企业应明确完成安全生产目标的工作任务、责任分工、资源保障和时限要求，定期对目标及工作任务完成情况进行跟踪、分析和考核。</w:t>
      </w:r>
    </w:p>
    <w:p>
      <w:pPr>
        <w:pStyle w:val="92"/>
        <w:spacing w:before="156" w:after="156"/>
      </w:pPr>
      <w:bookmarkStart w:id="150" w:name="_Toc21570"/>
      <w:bookmarkStart w:id="151" w:name="_Toc6131"/>
      <w:bookmarkStart w:id="152" w:name="_Toc186118219"/>
      <w:bookmarkStart w:id="153" w:name="_Toc20155"/>
      <w:bookmarkStart w:id="154" w:name="_Toc16359"/>
      <w:r>
        <w:rPr>
          <w:rFonts w:hint="eastAsia"/>
        </w:rPr>
        <w:t>合规管理</w:t>
      </w:r>
      <w:bookmarkEnd w:id="150"/>
      <w:bookmarkEnd w:id="151"/>
      <w:bookmarkEnd w:id="152"/>
      <w:bookmarkEnd w:id="153"/>
      <w:bookmarkEnd w:id="154"/>
    </w:p>
    <w:p>
      <w:pPr>
        <w:pStyle w:val="55"/>
        <w:ind w:firstLine="420"/>
      </w:pPr>
      <w:r>
        <w:rPr>
          <w:rFonts w:hint="eastAsia"/>
        </w:rPr>
        <w:t>企业应建立安全生产合规的管理要求，明确安全生产相关法律法规、标准规范的获取、识别、转化、评价等内容。</w:t>
      </w:r>
    </w:p>
    <w:p>
      <w:pPr>
        <w:pStyle w:val="55"/>
        <w:ind w:firstLine="420"/>
      </w:pPr>
      <w:r>
        <w:rPr>
          <w:rFonts w:hint="eastAsia"/>
        </w:rPr>
        <w:t>应及时获取适用的安全生产相关法律法规、标准规范等法定要求，识别安全生产合规义务，根据自身实际情况及时转化为内部规章制度、操作规程等，并对从业人员进行培训。</w:t>
      </w:r>
    </w:p>
    <w:p>
      <w:pPr>
        <w:pStyle w:val="55"/>
        <w:ind w:firstLine="420"/>
      </w:pPr>
      <w:r>
        <w:rPr>
          <w:rFonts w:hint="eastAsia"/>
        </w:rPr>
        <w:t>应每年至少开展一次安全生产合规评价，及时采取措施防控合规风险，并按规定将安全生产合规评价结果上报政府有关部门。当法定要求或企业内部发生重大变化时，应重新进行评价。</w:t>
      </w:r>
    </w:p>
    <w:p>
      <w:pPr>
        <w:pStyle w:val="92"/>
        <w:spacing w:before="156" w:after="156"/>
      </w:pPr>
      <w:bookmarkStart w:id="155" w:name="_Toc246"/>
      <w:bookmarkStart w:id="156" w:name="_Toc30510"/>
      <w:bookmarkStart w:id="157" w:name="_Toc9424"/>
      <w:bookmarkStart w:id="158" w:name="_Toc186118220"/>
      <w:bookmarkStart w:id="159" w:name="_Toc26554"/>
      <w:r>
        <w:rPr>
          <w:rFonts w:hint="eastAsia"/>
        </w:rPr>
        <w:t>全员参与</w:t>
      </w:r>
      <w:bookmarkEnd w:id="155"/>
      <w:bookmarkEnd w:id="156"/>
      <w:bookmarkEnd w:id="157"/>
      <w:bookmarkEnd w:id="158"/>
      <w:bookmarkEnd w:id="159"/>
    </w:p>
    <w:p>
      <w:pPr>
        <w:pStyle w:val="55"/>
        <w:ind w:firstLine="420"/>
      </w:pPr>
      <w:r>
        <w:rPr>
          <w:rFonts w:hint="eastAsia"/>
        </w:rPr>
        <w:t>企业应畅通从业人员参与安全生产的渠道，鼓励从业人员参与安全生产管理。</w:t>
      </w:r>
    </w:p>
    <w:p>
      <w:pPr>
        <w:pStyle w:val="55"/>
        <w:ind w:firstLine="420"/>
      </w:pPr>
      <w:r>
        <w:rPr>
          <w:rFonts w:hint="eastAsia"/>
        </w:rPr>
        <w:t>应及时收集、答复、落实从业人员提出的安全生产建议和举报。</w:t>
      </w:r>
    </w:p>
    <w:p>
      <w:pPr>
        <w:pStyle w:val="55"/>
        <w:ind w:firstLine="420"/>
      </w:pPr>
      <w:r>
        <w:rPr>
          <w:rFonts w:hint="eastAsia"/>
        </w:rPr>
        <w:t>工会应对安全生产工作进行监督，保障从业人员参加安全生产民主管理和民主监督的权利，维护其安全生产合法权益。</w:t>
      </w:r>
    </w:p>
    <w:p>
      <w:pPr>
        <w:pStyle w:val="92"/>
        <w:spacing w:before="156" w:after="156"/>
      </w:pPr>
      <w:bookmarkStart w:id="160" w:name="_Toc30205"/>
      <w:bookmarkStart w:id="161" w:name="_Toc186118221"/>
      <w:bookmarkStart w:id="162" w:name="_Toc12010"/>
      <w:bookmarkStart w:id="163" w:name="_Toc13846"/>
      <w:bookmarkStart w:id="164" w:name="_Toc30563"/>
      <w:r>
        <w:rPr>
          <w:rFonts w:hint="eastAsia"/>
        </w:rPr>
        <w:t>信息沟通</w:t>
      </w:r>
      <w:bookmarkEnd w:id="160"/>
      <w:bookmarkEnd w:id="161"/>
      <w:bookmarkEnd w:id="162"/>
      <w:bookmarkEnd w:id="163"/>
      <w:bookmarkEnd w:id="164"/>
    </w:p>
    <w:p>
      <w:pPr>
        <w:pStyle w:val="55"/>
        <w:ind w:firstLine="420"/>
      </w:pPr>
      <w:r>
        <w:rPr>
          <w:rFonts w:hint="eastAsia"/>
        </w:rPr>
        <w:t>企业应明确安全生产信息沟通的内容、范围和方式，确保安全生产信息在企业内部、外部得到及时、准确、全面</w:t>
      </w:r>
      <w:r>
        <w:rPr>
          <w:rFonts w:hint="eastAsia"/>
          <w:shd w:val="clear" w:color="auto" w:fill="FFFFFF"/>
        </w:rPr>
        <w:t>的</w:t>
      </w:r>
      <w:r>
        <w:rPr>
          <w:rFonts w:hint="eastAsia"/>
        </w:rPr>
        <w:t>沟通和处理，并保存记录。</w:t>
      </w:r>
    </w:p>
    <w:p>
      <w:pPr>
        <w:pStyle w:val="55"/>
        <w:ind w:firstLine="420"/>
      </w:pPr>
      <w:r>
        <w:rPr>
          <w:rFonts w:hint="eastAsia"/>
        </w:rPr>
        <w:t>信息沟通可采用文件、会议、交流、培训、协商等方式开展，包括但不限于以下内容：</w:t>
      </w:r>
    </w:p>
    <w:p>
      <w:pPr>
        <w:pStyle w:val="137"/>
        <w:numPr>
          <w:ilvl w:val="0"/>
          <w:numId w:val="43"/>
        </w:numPr>
      </w:pPr>
      <w:r>
        <w:rPr>
          <w:rFonts w:hint="eastAsia"/>
        </w:rPr>
        <w:t>政府、行业的安全生产信息；</w:t>
      </w:r>
    </w:p>
    <w:p>
      <w:pPr>
        <w:pStyle w:val="137"/>
        <w:numPr>
          <w:ilvl w:val="0"/>
          <w:numId w:val="43"/>
        </w:numPr>
      </w:pPr>
      <w:r>
        <w:rPr>
          <w:rFonts w:hint="eastAsia"/>
        </w:rPr>
        <w:t>上级单位的安全生产信息；</w:t>
      </w:r>
    </w:p>
    <w:p>
      <w:pPr>
        <w:pStyle w:val="137"/>
        <w:numPr>
          <w:ilvl w:val="0"/>
          <w:numId w:val="43"/>
        </w:numPr>
      </w:pPr>
      <w:r>
        <w:rPr>
          <w:rFonts w:hint="eastAsia"/>
        </w:rPr>
        <w:t>本企业安全生产活动的信息；</w:t>
      </w:r>
    </w:p>
    <w:p>
      <w:pPr>
        <w:pStyle w:val="137"/>
        <w:numPr>
          <w:ilvl w:val="0"/>
          <w:numId w:val="43"/>
        </w:numPr>
      </w:pPr>
      <w:r>
        <w:rPr>
          <w:rFonts w:hint="eastAsia"/>
        </w:rPr>
        <w:t>相关方的安全生产信息。</w:t>
      </w:r>
    </w:p>
    <w:p>
      <w:pPr>
        <w:pStyle w:val="93"/>
        <w:spacing w:before="312" w:after="312"/>
      </w:pPr>
      <w:bookmarkStart w:id="165" w:name="_Toc27874"/>
      <w:bookmarkStart w:id="166" w:name="_Toc21581"/>
      <w:bookmarkStart w:id="167" w:name="_Toc26690"/>
      <w:bookmarkStart w:id="168" w:name="_Toc6008"/>
      <w:bookmarkStart w:id="169" w:name="_Toc186118222"/>
      <w:r>
        <w:rPr>
          <w:rFonts w:hint="eastAsia"/>
        </w:rPr>
        <w:t>安全风险分级管控</w:t>
      </w:r>
      <w:bookmarkEnd w:id="165"/>
      <w:bookmarkEnd w:id="166"/>
      <w:bookmarkEnd w:id="167"/>
      <w:bookmarkEnd w:id="168"/>
      <w:bookmarkEnd w:id="169"/>
    </w:p>
    <w:p>
      <w:pPr>
        <w:pStyle w:val="92"/>
        <w:spacing w:before="156" w:after="156"/>
      </w:pPr>
      <w:bookmarkStart w:id="170" w:name="_Toc1634"/>
      <w:bookmarkStart w:id="171" w:name="_Toc28105"/>
      <w:bookmarkStart w:id="172" w:name="_Toc28696"/>
      <w:bookmarkStart w:id="173" w:name="_Toc15981"/>
      <w:bookmarkStart w:id="174" w:name="_Toc186118223"/>
      <w:r>
        <w:rPr>
          <w:rFonts w:hint="eastAsia"/>
        </w:rPr>
        <w:t>一般要求</w:t>
      </w:r>
      <w:bookmarkEnd w:id="170"/>
      <w:bookmarkEnd w:id="171"/>
      <w:bookmarkEnd w:id="172"/>
      <w:bookmarkEnd w:id="173"/>
      <w:bookmarkEnd w:id="174"/>
    </w:p>
    <w:p>
      <w:pPr>
        <w:pStyle w:val="55"/>
        <w:ind w:firstLine="420"/>
      </w:pPr>
      <w:r>
        <w:rPr>
          <w:rFonts w:hint="eastAsia"/>
        </w:rPr>
        <w:t>企业应建立安全风险分级管控的管理要求，明确以下内容：</w:t>
      </w:r>
    </w:p>
    <w:p>
      <w:pPr>
        <w:pStyle w:val="137"/>
        <w:numPr>
          <w:ilvl w:val="0"/>
          <w:numId w:val="44"/>
        </w:numPr>
      </w:pPr>
      <w:r>
        <w:rPr>
          <w:rFonts w:hint="eastAsia"/>
        </w:rPr>
        <w:t>危险源辨识的范围、人员、流程与频次；</w:t>
      </w:r>
    </w:p>
    <w:p>
      <w:pPr>
        <w:pStyle w:val="137"/>
        <w:numPr>
          <w:ilvl w:val="0"/>
          <w:numId w:val="44"/>
        </w:numPr>
      </w:pPr>
      <w:r>
        <w:rPr>
          <w:rFonts w:hint="eastAsia"/>
        </w:rPr>
        <w:t>风险评估的方法、分级标准和流程；</w:t>
      </w:r>
    </w:p>
    <w:p>
      <w:pPr>
        <w:pStyle w:val="137"/>
        <w:numPr>
          <w:ilvl w:val="0"/>
          <w:numId w:val="44"/>
        </w:numPr>
      </w:pPr>
      <w:r>
        <w:rPr>
          <w:rFonts w:hint="eastAsia"/>
        </w:rPr>
        <w:t>风险分级管控的准则。</w:t>
      </w:r>
    </w:p>
    <w:p>
      <w:pPr>
        <w:pStyle w:val="55"/>
        <w:ind w:firstLine="420"/>
      </w:pPr>
      <w:r>
        <w:t>应</w:t>
      </w:r>
      <w:r>
        <w:rPr>
          <w:rFonts w:hint="eastAsia"/>
        </w:rPr>
        <w:t>定期组织开展安全风险分级管控培训，确保相关人员掌握危险源辨识、风险评估、风险分级管控的相关知识与技能。</w:t>
      </w:r>
    </w:p>
    <w:p>
      <w:pPr>
        <w:pStyle w:val="55"/>
        <w:ind w:firstLine="420"/>
      </w:pPr>
      <w:r>
        <w:rPr>
          <w:rFonts w:hint="eastAsia"/>
        </w:rPr>
        <w:t>应明确重大危险源的安全管理要求，对重大危险源进行登记建档、定期检测、评估、监控，并制定应急预案，告知从业人员和相关人员在紧急情况下应当采取的应急措施。</w:t>
      </w:r>
    </w:p>
    <w:p>
      <w:pPr>
        <w:pStyle w:val="92"/>
        <w:spacing w:before="156" w:after="156"/>
      </w:pPr>
      <w:bookmarkStart w:id="175" w:name="_Toc186118224"/>
      <w:bookmarkStart w:id="176" w:name="_Toc2086"/>
      <w:bookmarkStart w:id="177" w:name="_Toc2039"/>
      <w:bookmarkStart w:id="178" w:name="_Toc5890"/>
      <w:bookmarkStart w:id="179" w:name="_Toc12632"/>
      <w:r>
        <w:rPr>
          <w:rFonts w:hint="eastAsia"/>
        </w:rPr>
        <w:t>危险源辨识</w:t>
      </w:r>
      <w:bookmarkEnd w:id="175"/>
      <w:bookmarkEnd w:id="176"/>
      <w:bookmarkEnd w:id="177"/>
      <w:bookmarkEnd w:id="178"/>
      <w:bookmarkEnd w:id="179"/>
    </w:p>
    <w:p>
      <w:pPr>
        <w:pStyle w:val="55"/>
        <w:ind w:firstLine="420"/>
      </w:pPr>
      <w:r>
        <w:rPr>
          <w:rFonts w:hint="eastAsia"/>
        </w:rPr>
        <w:t>企业应采用适宜的危险源辨识方法和程序，组织从业人员全面辨识生产系统、工艺技术、设备设施、作业环境、作业任务和人员行为等方面存在的危险源。</w:t>
      </w:r>
    </w:p>
    <w:p>
      <w:pPr>
        <w:pStyle w:val="55"/>
        <w:ind w:firstLine="420"/>
      </w:pPr>
      <w:r>
        <w:rPr>
          <w:rFonts w:hint="eastAsia"/>
        </w:rPr>
        <w:t>危险源辨识范围应覆盖企业生产经营活动的所有环节及区域，并充分考虑正常、异常和紧急三种状态及过去、现在和将来三种</w:t>
      </w:r>
      <w:r>
        <w:rPr>
          <w:rFonts w:hint="eastAsia"/>
          <w:shd w:val="clear" w:color="auto" w:fill="FFFFFF"/>
        </w:rPr>
        <w:t>时态</w:t>
      </w:r>
      <w:r>
        <w:rPr>
          <w:rFonts w:hint="eastAsia"/>
        </w:rPr>
        <w:t>。</w:t>
      </w:r>
    </w:p>
    <w:p>
      <w:pPr>
        <w:pStyle w:val="55"/>
        <w:ind w:firstLine="420"/>
      </w:pPr>
      <w:r>
        <w:rPr>
          <w:rFonts w:hint="eastAsia"/>
        </w:rPr>
        <w:t>企业应持续开展危险源辨识，当存在以下情形时及时重新辨识危险源：</w:t>
      </w:r>
    </w:p>
    <w:p>
      <w:pPr>
        <w:pStyle w:val="137"/>
        <w:numPr>
          <w:ilvl w:val="0"/>
          <w:numId w:val="45"/>
        </w:numPr>
      </w:pPr>
      <w:r>
        <w:rPr>
          <w:rFonts w:hint="eastAsia"/>
        </w:rPr>
        <w:t>生产系统、工艺技术、主要设备设施等发生重大变化时；</w:t>
      </w:r>
    </w:p>
    <w:p>
      <w:pPr>
        <w:pStyle w:val="137"/>
        <w:numPr>
          <w:ilvl w:val="0"/>
          <w:numId w:val="45"/>
        </w:numPr>
      </w:pPr>
      <w:r>
        <w:rPr>
          <w:rFonts w:hint="eastAsia"/>
        </w:rPr>
        <w:t>新工艺、新技术、新材料、新设备投入使用前；</w:t>
      </w:r>
    </w:p>
    <w:p>
      <w:pPr>
        <w:pStyle w:val="137"/>
        <w:numPr>
          <w:ilvl w:val="0"/>
          <w:numId w:val="45"/>
        </w:numPr>
      </w:pPr>
      <w:r>
        <w:rPr>
          <w:rFonts w:hint="eastAsia"/>
        </w:rPr>
        <w:t>发生生产安全事故后；</w:t>
      </w:r>
    </w:p>
    <w:p>
      <w:pPr>
        <w:pStyle w:val="137"/>
        <w:numPr>
          <w:ilvl w:val="0"/>
          <w:numId w:val="45"/>
        </w:numPr>
      </w:pPr>
      <w:r>
        <w:rPr>
          <w:rFonts w:hint="eastAsia"/>
        </w:rPr>
        <w:t>其他可能对安全生产造成重大影响的。</w:t>
      </w:r>
    </w:p>
    <w:p>
      <w:pPr>
        <w:pStyle w:val="92"/>
        <w:spacing w:before="156" w:after="156"/>
      </w:pPr>
      <w:bookmarkStart w:id="180" w:name="_Toc1049"/>
      <w:bookmarkStart w:id="181" w:name="_Toc3555"/>
      <w:bookmarkStart w:id="182" w:name="_Toc22979"/>
      <w:bookmarkStart w:id="183" w:name="_Toc186118225"/>
      <w:bookmarkStart w:id="184" w:name="_Toc4163"/>
      <w:r>
        <w:rPr>
          <w:rFonts w:hint="eastAsia"/>
        </w:rPr>
        <w:t>风险评估</w:t>
      </w:r>
      <w:bookmarkEnd w:id="180"/>
      <w:bookmarkEnd w:id="181"/>
      <w:bookmarkEnd w:id="182"/>
      <w:bookmarkEnd w:id="183"/>
      <w:bookmarkEnd w:id="184"/>
    </w:p>
    <w:p>
      <w:pPr>
        <w:pStyle w:val="55"/>
        <w:ind w:firstLine="420"/>
      </w:pPr>
      <w:r>
        <w:t>企业应</w:t>
      </w:r>
      <w:r>
        <w:rPr>
          <w:rFonts w:hint="eastAsia"/>
        </w:rPr>
        <w:t>采用适宜</w:t>
      </w:r>
      <w:r>
        <w:t>的风险评</w:t>
      </w:r>
      <w:r>
        <w:rPr>
          <w:rFonts w:hint="eastAsia"/>
        </w:rPr>
        <w:t>估</w:t>
      </w:r>
      <w:r>
        <w:t>方法，对</w:t>
      </w:r>
      <w:r>
        <w:rPr>
          <w:rFonts w:hint="eastAsia"/>
        </w:rPr>
        <w:t>辨识出的危险源及现有控制措施的有效性进行风险评估，确定安全风险等级。</w:t>
      </w:r>
    </w:p>
    <w:p>
      <w:pPr>
        <w:pStyle w:val="55"/>
        <w:ind w:firstLine="420"/>
      </w:pPr>
      <w:r>
        <w:rPr>
          <w:rFonts w:hint="eastAsia"/>
        </w:rPr>
        <w:t>应至少每年组织开展一次风险评估，当危险源辨识结果发生变化时，应重新进行风险评估。</w:t>
      </w:r>
    </w:p>
    <w:p>
      <w:pPr>
        <w:pStyle w:val="92"/>
        <w:spacing w:before="156" w:after="156"/>
      </w:pPr>
      <w:bookmarkStart w:id="185" w:name="_Toc24013"/>
      <w:bookmarkStart w:id="186" w:name="_Toc10838"/>
      <w:bookmarkStart w:id="187" w:name="_Toc14305"/>
      <w:bookmarkStart w:id="188" w:name="_Toc185950772"/>
      <w:bookmarkStart w:id="189" w:name="_Toc3"/>
      <w:bookmarkStart w:id="190" w:name="_Toc185837271"/>
      <w:bookmarkStart w:id="191" w:name="_Toc186118226"/>
      <w:r>
        <w:rPr>
          <w:rFonts w:hint="eastAsia"/>
        </w:rPr>
        <w:t>风险控制</w:t>
      </w:r>
      <w:bookmarkEnd w:id="185"/>
      <w:bookmarkEnd w:id="186"/>
      <w:bookmarkEnd w:id="187"/>
      <w:bookmarkEnd w:id="188"/>
      <w:bookmarkEnd w:id="189"/>
      <w:bookmarkEnd w:id="190"/>
      <w:bookmarkEnd w:id="191"/>
    </w:p>
    <w:p>
      <w:pPr>
        <w:pStyle w:val="121"/>
        <w:spacing w:before="156" w:after="156"/>
      </w:pPr>
      <w:bookmarkStart w:id="192" w:name="_Toc27301"/>
      <w:bookmarkStart w:id="193" w:name="_Toc19935"/>
      <w:bookmarkStart w:id="194" w:name="_Toc16945"/>
      <w:bookmarkStart w:id="195" w:name="_Toc55"/>
      <w:bookmarkStart w:id="196" w:name="_Toc29197"/>
      <w:bookmarkStart w:id="197" w:name="_Toc21922"/>
      <w:bookmarkStart w:id="198" w:name="_Toc17302"/>
      <w:bookmarkStart w:id="199" w:name="_Toc14886"/>
      <w:bookmarkStart w:id="200" w:name="_Toc171526231"/>
      <w:bookmarkStart w:id="201" w:name="_Toc31133"/>
      <w:bookmarkStart w:id="202" w:name="_Toc10338"/>
      <w:bookmarkStart w:id="203" w:name="_Toc10282"/>
      <w:bookmarkStart w:id="204" w:name="_Toc24116"/>
      <w:bookmarkStart w:id="205" w:name="_Toc19854"/>
      <w:bookmarkStart w:id="206" w:name="_Toc18429"/>
      <w:bookmarkStart w:id="207" w:name="_Toc12860"/>
      <w:bookmarkStart w:id="208" w:name="_Toc9382"/>
      <w:bookmarkStart w:id="209" w:name="_Toc4791"/>
      <w:bookmarkStart w:id="210" w:name="_Toc154741965"/>
      <w:bookmarkStart w:id="211" w:name="_Toc164852141"/>
      <w:bookmarkStart w:id="212" w:name="_Toc10613"/>
      <w:r>
        <w:rPr>
          <w:rFonts w:hint="eastAsia"/>
        </w:rPr>
        <w:t>控制措施</w:t>
      </w:r>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p>
    <w:p>
      <w:pPr>
        <w:pStyle w:val="55"/>
        <w:ind w:firstLine="420"/>
      </w:pPr>
      <w:r>
        <w:rPr>
          <w:rFonts w:hint="eastAsia"/>
        </w:rPr>
        <w:t>企业应针对不同等级的安全风险，实施差异化的动态管理。</w:t>
      </w:r>
    </w:p>
    <w:p>
      <w:pPr>
        <w:pStyle w:val="55"/>
        <w:ind w:firstLine="420"/>
      </w:pPr>
      <w:r>
        <w:t>应</w:t>
      </w:r>
      <w:r>
        <w:rPr>
          <w:rFonts w:hint="eastAsia"/>
        </w:rPr>
        <w:t>按消除、替代、降低、隔离、管理控制、个人防护的优先顺序，确定适宜的风险控制措施，并跟踪风险控制措施落实情况，确保其有效性。</w:t>
      </w:r>
    </w:p>
    <w:p>
      <w:pPr>
        <w:pStyle w:val="55"/>
        <w:ind w:firstLine="420"/>
      </w:pPr>
      <w:r>
        <w:rPr>
          <w:rFonts w:hint="eastAsia"/>
        </w:rPr>
        <w:t>风险控制措施应纳入规章制度、操作规程、应急预案等文件。</w:t>
      </w:r>
    </w:p>
    <w:p>
      <w:pPr>
        <w:pStyle w:val="121"/>
        <w:spacing w:before="156" w:after="156"/>
      </w:pPr>
      <w:bookmarkStart w:id="213" w:name="_Toc18700"/>
      <w:bookmarkStart w:id="214" w:name="_Toc12763"/>
      <w:bookmarkStart w:id="215" w:name="_Toc30466"/>
      <w:bookmarkStart w:id="216" w:name="_Toc5327"/>
      <w:bookmarkStart w:id="217" w:name="_Toc16944"/>
      <w:bookmarkStart w:id="218" w:name="_Toc22388"/>
      <w:bookmarkStart w:id="219" w:name="_Toc29441"/>
      <w:bookmarkStart w:id="220" w:name="_Toc22009"/>
      <w:bookmarkStart w:id="221" w:name="_Toc4678"/>
      <w:bookmarkStart w:id="222" w:name="_Toc164852142"/>
      <w:bookmarkStart w:id="223" w:name="_Toc22466"/>
      <w:bookmarkStart w:id="224" w:name="_Toc32069"/>
      <w:bookmarkStart w:id="225" w:name="_Toc4817"/>
      <w:bookmarkStart w:id="226" w:name="_Toc1766"/>
      <w:bookmarkStart w:id="227" w:name="_Toc171526232"/>
      <w:bookmarkStart w:id="228" w:name="_Toc11868"/>
      <w:bookmarkStart w:id="229" w:name="_Toc8129"/>
      <w:r>
        <w:rPr>
          <w:rFonts w:hint="eastAsia"/>
        </w:rPr>
        <w:t>风险</w:t>
      </w:r>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r>
        <w:rPr>
          <w:rFonts w:hint="eastAsia"/>
        </w:rPr>
        <w:t>告知</w:t>
      </w:r>
    </w:p>
    <w:p>
      <w:pPr>
        <w:pStyle w:val="55"/>
        <w:ind w:firstLine="420"/>
      </w:pPr>
      <w:r>
        <w:rPr>
          <w:rFonts w:hint="eastAsia"/>
        </w:rPr>
        <w:t>企业应通过适宜的方式对进入生产作业场所的人员进行安全风险告知，告知内容应包括风险后果、管控措施、报告方式等。</w:t>
      </w:r>
    </w:p>
    <w:p>
      <w:pPr>
        <w:pStyle w:val="55"/>
        <w:ind w:firstLine="420"/>
      </w:pPr>
      <w:r>
        <w:rPr>
          <w:rFonts w:hint="eastAsia"/>
        </w:rPr>
        <w:t>应在适当的位置对重大安全风险进行公告，公告内容包括风险描述、管控措施、应急措施、责任人员等。</w:t>
      </w:r>
    </w:p>
    <w:p>
      <w:pPr>
        <w:pStyle w:val="55"/>
        <w:ind w:firstLine="420"/>
      </w:pPr>
      <w:r>
        <w:rPr>
          <w:rFonts w:hint="eastAsia"/>
        </w:rPr>
        <w:t>应按规定向</w:t>
      </w:r>
      <w:bookmarkStart w:id="230" w:name="_Hlk186103341"/>
      <w:r>
        <w:rPr>
          <w:rFonts w:hint="eastAsia"/>
        </w:rPr>
        <w:t>政府有关部门</w:t>
      </w:r>
      <w:bookmarkEnd w:id="230"/>
      <w:r>
        <w:rPr>
          <w:rFonts w:hint="eastAsia"/>
        </w:rPr>
        <w:t>报送重大安全风险清单及其管控措施。</w:t>
      </w:r>
    </w:p>
    <w:p>
      <w:pPr>
        <w:pStyle w:val="121"/>
        <w:spacing w:before="156" w:after="156"/>
      </w:pPr>
      <w:bookmarkStart w:id="231" w:name="_Toc171526233"/>
      <w:bookmarkStart w:id="232" w:name="_Toc9981"/>
      <w:bookmarkStart w:id="233" w:name="_Toc18502"/>
      <w:bookmarkStart w:id="234" w:name="_Toc16308"/>
      <w:bookmarkStart w:id="235" w:name="_Toc13150"/>
      <w:bookmarkStart w:id="236" w:name="_Toc3505"/>
      <w:bookmarkStart w:id="237" w:name="_Toc31197"/>
      <w:bookmarkStart w:id="238" w:name="_Toc4544"/>
      <w:bookmarkStart w:id="239" w:name="_Toc19917"/>
      <w:bookmarkStart w:id="240" w:name="_Toc1610"/>
      <w:bookmarkStart w:id="241" w:name="_Toc27804"/>
      <w:bookmarkStart w:id="242" w:name="_Toc27066"/>
      <w:bookmarkStart w:id="243" w:name="_Toc164852143"/>
      <w:bookmarkStart w:id="244" w:name="_Toc11245"/>
      <w:bookmarkStart w:id="245" w:name="_Toc30949"/>
      <w:bookmarkStart w:id="246" w:name="_Toc26622"/>
      <w:bookmarkStart w:id="247" w:name="_Toc24243"/>
      <w:r>
        <w:rPr>
          <w:rFonts w:hint="eastAsia"/>
        </w:rPr>
        <w:t>监测预警</w:t>
      </w:r>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p>
    <w:p>
      <w:pPr>
        <w:pStyle w:val="55"/>
        <w:ind w:firstLine="420"/>
      </w:pPr>
      <w:r>
        <w:rPr>
          <w:rFonts w:hint="eastAsia"/>
        </w:rPr>
        <w:t>企业应采用多种手段进行安全风险监测，发生异常时及时预警并处置。</w:t>
      </w:r>
    </w:p>
    <w:p>
      <w:pPr>
        <w:pStyle w:val="55"/>
        <w:ind w:firstLine="420"/>
      </w:pPr>
      <w:r>
        <w:rPr>
          <w:rFonts w:hint="eastAsia"/>
        </w:rPr>
        <w:t>宜采用信息化、智能化等手段，提高安全风险监测、预警、处置效能。</w:t>
      </w:r>
    </w:p>
    <w:p>
      <w:pPr>
        <w:pStyle w:val="121"/>
        <w:spacing w:before="156" w:after="156"/>
      </w:pPr>
      <w:bookmarkStart w:id="248" w:name="_Toc9683"/>
      <w:bookmarkStart w:id="249" w:name="_Toc26425"/>
      <w:bookmarkStart w:id="250" w:name="_Toc10417"/>
      <w:bookmarkStart w:id="251" w:name="_Toc1202"/>
      <w:bookmarkStart w:id="252" w:name="_Toc154741968"/>
      <w:bookmarkStart w:id="253" w:name="_Toc32236"/>
      <w:bookmarkStart w:id="254" w:name="_Toc18227"/>
      <w:bookmarkStart w:id="255" w:name="_Toc164852144"/>
      <w:bookmarkStart w:id="256" w:name="_Toc11996"/>
      <w:bookmarkStart w:id="257" w:name="_Toc3831"/>
      <w:bookmarkStart w:id="258" w:name="_Toc9823"/>
      <w:bookmarkStart w:id="259" w:name="_Toc6713"/>
      <w:bookmarkStart w:id="260" w:name="_Toc3043"/>
      <w:bookmarkStart w:id="261" w:name="_Toc16738"/>
      <w:bookmarkStart w:id="262" w:name="_Toc13590"/>
      <w:bookmarkStart w:id="263" w:name="_Toc171526234"/>
      <w:bookmarkStart w:id="264" w:name="_Toc25700"/>
      <w:bookmarkStart w:id="265" w:name="_Toc11424"/>
      <w:bookmarkStart w:id="266" w:name="_Toc21560"/>
      <w:bookmarkStart w:id="267" w:name="_Toc27501"/>
      <w:bookmarkStart w:id="268" w:name="_Toc14094"/>
      <w:r>
        <w:rPr>
          <w:rFonts w:hint="eastAsia"/>
        </w:rPr>
        <w:t>效果评价</w:t>
      </w:r>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p>
    <w:p>
      <w:pPr>
        <w:pStyle w:val="55"/>
        <w:ind w:firstLine="420"/>
      </w:pPr>
      <w:r>
        <w:rPr>
          <w:rFonts w:hint="eastAsia"/>
        </w:rPr>
        <w:t>企业应定期对安全风险分级管控效果进行评价。</w:t>
      </w:r>
    </w:p>
    <w:p>
      <w:pPr>
        <w:pStyle w:val="55"/>
        <w:ind w:firstLine="420"/>
      </w:pPr>
      <w:r>
        <w:rPr>
          <w:rFonts w:hint="eastAsia"/>
        </w:rPr>
        <w:t>当发现风险管控失效或不能满足要求时，应及时分析原因并完善相关风险管控措施；构成隐患的，应纳入隐患排查治理。</w:t>
      </w:r>
      <w:bookmarkStart w:id="269" w:name="_Toc462848637"/>
      <w:bookmarkStart w:id="270" w:name="_Toc185950773"/>
      <w:bookmarkStart w:id="271" w:name="_Toc185837272"/>
    </w:p>
    <w:p>
      <w:pPr>
        <w:pStyle w:val="93"/>
        <w:spacing w:before="312" w:after="312"/>
      </w:pPr>
      <w:bookmarkStart w:id="272" w:name="_Toc6957"/>
      <w:bookmarkStart w:id="273" w:name="_Toc11839"/>
      <w:bookmarkStart w:id="274" w:name="_Toc2666"/>
      <w:bookmarkStart w:id="275" w:name="_Toc7283"/>
      <w:bookmarkStart w:id="276" w:name="_Toc186118227"/>
      <w:r>
        <w:rPr>
          <w:rFonts w:hint="eastAsia"/>
        </w:rPr>
        <w:t>隐患排查</w:t>
      </w:r>
      <w:r>
        <w:t>治理</w:t>
      </w:r>
      <w:bookmarkEnd w:id="269"/>
      <w:bookmarkEnd w:id="270"/>
      <w:bookmarkEnd w:id="271"/>
      <w:bookmarkEnd w:id="272"/>
      <w:bookmarkEnd w:id="273"/>
      <w:bookmarkEnd w:id="274"/>
      <w:bookmarkEnd w:id="275"/>
      <w:bookmarkEnd w:id="276"/>
    </w:p>
    <w:p>
      <w:pPr>
        <w:pStyle w:val="92"/>
        <w:spacing w:before="156" w:after="156"/>
      </w:pPr>
      <w:bookmarkStart w:id="277" w:name="_Toc22963"/>
      <w:bookmarkStart w:id="278" w:name="_Toc185950774"/>
      <w:bookmarkStart w:id="279" w:name="_Toc17319"/>
      <w:bookmarkStart w:id="280" w:name="_Toc19088"/>
      <w:bookmarkStart w:id="281" w:name="_Toc27110"/>
      <w:bookmarkStart w:id="282" w:name="_Toc185837273"/>
      <w:bookmarkStart w:id="283" w:name="_Toc186118228"/>
      <w:r>
        <w:rPr>
          <w:rFonts w:hint="eastAsia"/>
        </w:rPr>
        <w:t>一般要求</w:t>
      </w:r>
      <w:bookmarkEnd w:id="277"/>
      <w:bookmarkEnd w:id="278"/>
      <w:bookmarkEnd w:id="279"/>
      <w:bookmarkEnd w:id="280"/>
      <w:bookmarkEnd w:id="281"/>
      <w:bookmarkEnd w:id="282"/>
      <w:bookmarkEnd w:id="283"/>
    </w:p>
    <w:p>
      <w:pPr>
        <w:pStyle w:val="55"/>
        <w:ind w:firstLine="420"/>
      </w:pPr>
      <w:r>
        <w:rPr>
          <w:rFonts w:hint="eastAsia"/>
        </w:rPr>
        <w:t>企业应建立隐患排查治理的管理要求，明确隐患排查治理的责任、分级、排查、治理、验收等内容。</w:t>
      </w:r>
    </w:p>
    <w:p>
      <w:pPr>
        <w:pStyle w:val="55"/>
        <w:ind w:firstLine="420"/>
      </w:pPr>
      <w:r>
        <w:t>应如实记录</w:t>
      </w:r>
      <w:r>
        <w:rPr>
          <w:rFonts w:hint="eastAsia"/>
        </w:rPr>
        <w:t>隐患</w:t>
      </w:r>
      <w:r>
        <w:t>排查治理情况</w:t>
      </w:r>
      <w:r>
        <w:rPr>
          <w:rFonts w:hint="eastAsia"/>
        </w:rPr>
        <w:t>，定期进行统计分析，明确隐患排查治理重点，完善治理措施，并向从业人员通报隐患排查治理情况。</w:t>
      </w:r>
    </w:p>
    <w:p>
      <w:pPr>
        <w:pStyle w:val="55"/>
        <w:ind w:firstLine="420"/>
      </w:pPr>
      <w:r>
        <w:rPr>
          <w:rFonts w:hint="eastAsia"/>
        </w:rPr>
        <w:t>主要负责人应定期组织排查隐患，制定重大事故隐患治理方案，督促、检查重大事故隐患治理情况。</w:t>
      </w:r>
    </w:p>
    <w:p>
      <w:pPr>
        <w:pStyle w:val="92"/>
        <w:spacing w:before="156" w:after="156"/>
      </w:pPr>
      <w:bookmarkStart w:id="284" w:name="_Toc10219"/>
      <w:bookmarkStart w:id="285" w:name="_Toc28844"/>
      <w:bookmarkStart w:id="286" w:name="_Toc185837274"/>
      <w:bookmarkStart w:id="287" w:name="_Toc186118229"/>
      <w:bookmarkStart w:id="288" w:name="_Toc9610"/>
      <w:bookmarkStart w:id="289" w:name="_Toc25204"/>
      <w:bookmarkStart w:id="290" w:name="_Toc185950775"/>
      <w:r>
        <w:rPr>
          <w:rFonts w:hint="eastAsia"/>
        </w:rPr>
        <w:t>隐患排查</w:t>
      </w:r>
      <w:bookmarkEnd w:id="284"/>
      <w:bookmarkEnd w:id="285"/>
      <w:bookmarkEnd w:id="286"/>
      <w:bookmarkEnd w:id="287"/>
      <w:bookmarkEnd w:id="288"/>
      <w:bookmarkEnd w:id="289"/>
      <w:bookmarkEnd w:id="290"/>
    </w:p>
    <w:p>
      <w:pPr>
        <w:pStyle w:val="55"/>
        <w:ind w:firstLine="420"/>
      </w:pPr>
      <w:r>
        <w:rPr>
          <w:rFonts w:hint="eastAsia"/>
        </w:rPr>
        <w:t>企业应落实基层单位、业务部门、安全生产管理机构的隐患排查责任，组织开展全员隐患排查，监督各层级排查隐患，鼓励各岗位自主排查隐患。</w:t>
      </w:r>
    </w:p>
    <w:p>
      <w:pPr>
        <w:pStyle w:val="55"/>
        <w:ind w:firstLine="420"/>
      </w:pPr>
      <w:r>
        <w:rPr>
          <w:rFonts w:hint="eastAsia"/>
        </w:rPr>
        <w:t>隐患排查范围应覆盖所有与生产经营相关的场所、人员、设备设施和活动，包括相关方的服务范围。</w:t>
      </w:r>
    </w:p>
    <w:p>
      <w:pPr>
        <w:pStyle w:val="55"/>
        <w:ind w:firstLine="420"/>
      </w:pPr>
      <w:r>
        <w:rPr>
          <w:rFonts w:hint="eastAsia"/>
        </w:rPr>
        <w:t>企业应采取日常排查、专项排查等方式开展隐患排查，可与安全检查、合规评价、风险控制效果评价、应急救援总结评估等工作结合开展。</w:t>
      </w:r>
    </w:p>
    <w:p>
      <w:pPr>
        <w:pStyle w:val="55"/>
        <w:ind w:firstLine="420"/>
      </w:pPr>
      <w:r>
        <w:rPr>
          <w:rFonts w:hint="eastAsia"/>
        </w:rPr>
        <w:t>应按重大事故隐患判定标准进行排查、分级、登记，并按规定报告重大事故隐患。</w:t>
      </w:r>
    </w:p>
    <w:p>
      <w:pPr>
        <w:pStyle w:val="55"/>
        <w:ind w:firstLine="420"/>
      </w:pPr>
      <w:r>
        <w:rPr>
          <w:rFonts w:hint="eastAsia"/>
        </w:rPr>
        <w:t>应明确隐患内部报告的内容、途径、奖励标准与方式，及时核查、处理、反馈和奖励。</w:t>
      </w:r>
    </w:p>
    <w:p>
      <w:pPr>
        <w:pStyle w:val="92"/>
        <w:spacing w:before="156" w:after="156"/>
      </w:pPr>
      <w:bookmarkStart w:id="291" w:name="_Toc185950776"/>
      <w:bookmarkStart w:id="292" w:name="_Toc185837275"/>
      <w:bookmarkStart w:id="293" w:name="_Toc17760"/>
      <w:bookmarkStart w:id="294" w:name="_Toc29475"/>
      <w:bookmarkStart w:id="295" w:name="_Toc186118230"/>
      <w:bookmarkStart w:id="296" w:name="_Toc21254"/>
      <w:bookmarkStart w:id="297" w:name="_Toc28660"/>
      <w:r>
        <w:rPr>
          <w:rFonts w:hint="eastAsia"/>
        </w:rPr>
        <w:t>隐患治理</w:t>
      </w:r>
      <w:bookmarkEnd w:id="291"/>
      <w:bookmarkEnd w:id="292"/>
      <w:bookmarkEnd w:id="293"/>
      <w:bookmarkEnd w:id="294"/>
      <w:bookmarkEnd w:id="295"/>
      <w:bookmarkEnd w:id="296"/>
      <w:bookmarkEnd w:id="297"/>
    </w:p>
    <w:p>
      <w:pPr>
        <w:pStyle w:val="55"/>
        <w:ind w:firstLine="420"/>
      </w:pPr>
      <w:r>
        <w:rPr>
          <w:rFonts w:hint="eastAsia"/>
        </w:rPr>
        <w:t>企业应在确保安全的前提下，及时采取措施治理隐患。对不能立即治理的隐患，应科学制定临时管控措施和应急措施。</w:t>
      </w:r>
    </w:p>
    <w:p>
      <w:pPr>
        <w:pStyle w:val="55"/>
        <w:ind w:firstLine="420"/>
      </w:pPr>
      <w:r>
        <w:rPr>
          <w:rFonts w:hint="eastAsia"/>
        </w:rPr>
        <w:t>应按规定对隐患治理情况进行评估、验收。</w:t>
      </w:r>
    </w:p>
    <w:p>
      <w:pPr>
        <w:pStyle w:val="55"/>
        <w:ind w:firstLine="420"/>
      </w:pPr>
      <w:r>
        <w:rPr>
          <w:rFonts w:hint="eastAsia"/>
          <w:shd w:val="clear" w:color="auto" w:fill="FFFFFF"/>
        </w:rPr>
        <w:t>应对</w:t>
      </w:r>
      <w:r>
        <w:rPr>
          <w:rFonts w:hint="eastAsia"/>
        </w:rPr>
        <w:t>重大事故隐患进行督办，按照治理方案治理重大事故隐患，跟踪治理情况，评估治理效果，及时报告、验收核销。</w:t>
      </w:r>
    </w:p>
    <w:p>
      <w:pPr>
        <w:pStyle w:val="93"/>
        <w:spacing w:before="312" w:after="312"/>
      </w:pPr>
      <w:bookmarkStart w:id="298" w:name="_Toc185837276"/>
      <w:bookmarkStart w:id="299" w:name="_Toc14614"/>
      <w:bookmarkStart w:id="300" w:name="_Toc185950777"/>
      <w:bookmarkStart w:id="301" w:name="_Toc2683"/>
      <w:bookmarkStart w:id="302" w:name="_Toc12804"/>
      <w:bookmarkStart w:id="303" w:name="_Toc15297"/>
      <w:bookmarkStart w:id="304" w:name="_Toc186118231"/>
      <w:bookmarkStart w:id="305" w:name="_Toc100129483"/>
      <w:bookmarkStart w:id="306" w:name="_Toc25079"/>
      <w:r>
        <w:rPr>
          <w:rFonts w:hint="eastAsia"/>
        </w:rPr>
        <w:t>人员管理</w:t>
      </w:r>
      <w:bookmarkEnd w:id="298"/>
      <w:bookmarkEnd w:id="299"/>
      <w:bookmarkEnd w:id="300"/>
      <w:bookmarkEnd w:id="301"/>
      <w:bookmarkEnd w:id="302"/>
      <w:bookmarkEnd w:id="303"/>
      <w:bookmarkEnd w:id="304"/>
    </w:p>
    <w:p>
      <w:pPr>
        <w:pStyle w:val="92"/>
        <w:spacing w:before="156" w:after="156"/>
      </w:pPr>
      <w:bookmarkStart w:id="307" w:name="_Toc2589"/>
      <w:bookmarkStart w:id="308" w:name="_Toc185950778"/>
      <w:bookmarkStart w:id="309" w:name="_Toc29515"/>
      <w:bookmarkStart w:id="310" w:name="_Toc186118232"/>
      <w:bookmarkStart w:id="311" w:name="_Toc185837277"/>
      <w:bookmarkStart w:id="312" w:name="_Toc26794"/>
      <w:bookmarkStart w:id="313" w:name="_Toc325"/>
      <w:r>
        <w:rPr>
          <w:rFonts w:hint="eastAsia"/>
        </w:rPr>
        <w:t>人员准入</w:t>
      </w:r>
      <w:bookmarkEnd w:id="307"/>
      <w:bookmarkEnd w:id="308"/>
      <w:bookmarkEnd w:id="309"/>
      <w:bookmarkEnd w:id="310"/>
      <w:bookmarkEnd w:id="311"/>
      <w:bookmarkEnd w:id="312"/>
      <w:bookmarkEnd w:id="313"/>
    </w:p>
    <w:p>
      <w:pPr>
        <w:pStyle w:val="55"/>
        <w:ind w:firstLine="420"/>
      </w:pPr>
      <w:r>
        <w:rPr>
          <w:rFonts w:hint="eastAsia"/>
        </w:rPr>
        <w:t>企业应根据岗位需求从</w:t>
      </w:r>
      <w:r>
        <w:t>教育、培训或经历</w:t>
      </w:r>
      <w:r>
        <w:rPr>
          <w:rFonts w:hint="eastAsia"/>
        </w:rPr>
        <w:t>、技能、职业禁忌、生理、心理等方面，明确从业人员安全准入要求，</w:t>
      </w:r>
      <w:r>
        <w:t>确保</w:t>
      </w:r>
      <w:r>
        <w:rPr>
          <w:rFonts w:hint="eastAsia"/>
        </w:rPr>
        <w:t>从业人员</w:t>
      </w:r>
      <w:r>
        <w:t>具备胜任工作的能力</w:t>
      </w:r>
      <w:r>
        <w:rPr>
          <w:rFonts w:hint="eastAsia"/>
        </w:rPr>
        <w:t>。</w:t>
      </w:r>
    </w:p>
    <w:p>
      <w:pPr>
        <w:pStyle w:val="92"/>
        <w:spacing w:before="156" w:after="156"/>
      </w:pPr>
      <w:bookmarkStart w:id="314" w:name="_Toc8535"/>
      <w:bookmarkStart w:id="315" w:name="_Toc185950779"/>
      <w:bookmarkStart w:id="316" w:name="_Toc10584"/>
      <w:bookmarkStart w:id="317" w:name="_Toc186118233"/>
      <w:bookmarkStart w:id="318" w:name="_Toc28359"/>
      <w:bookmarkStart w:id="319" w:name="_Toc895"/>
      <w:bookmarkStart w:id="320" w:name="_Toc185837278"/>
      <w:r>
        <w:rPr>
          <w:rFonts w:hint="eastAsia"/>
        </w:rPr>
        <w:t>安全资格</w:t>
      </w:r>
      <w:bookmarkEnd w:id="314"/>
      <w:bookmarkEnd w:id="315"/>
      <w:bookmarkEnd w:id="316"/>
      <w:bookmarkEnd w:id="317"/>
      <w:bookmarkEnd w:id="318"/>
      <w:bookmarkEnd w:id="319"/>
      <w:bookmarkEnd w:id="320"/>
    </w:p>
    <w:p>
      <w:pPr>
        <w:pStyle w:val="55"/>
        <w:ind w:firstLine="420"/>
      </w:pPr>
      <w:r>
        <w:rPr>
          <w:rFonts w:hint="eastAsia"/>
        </w:rPr>
        <w:t>企业</w:t>
      </w:r>
      <w:r>
        <w:t>应明确从业人员安全资格要求，确保从业人员取得与岗位相适应的任职资格</w:t>
      </w:r>
      <w:r>
        <w:rPr>
          <w:rFonts w:hint="eastAsia"/>
        </w:rPr>
        <w:t>，包括</w:t>
      </w:r>
      <w:r>
        <w:t>：</w:t>
      </w:r>
    </w:p>
    <w:p>
      <w:pPr>
        <w:pStyle w:val="137"/>
        <w:numPr>
          <w:ilvl w:val="0"/>
          <w:numId w:val="46"/>
        </w:numPr>
      </w:pPr>
      <w:r>
        <w:t>主要负责人、安全生产管理人员、特种作业人员</w:t>
      </w:r>
      <w:r>
        <w:rPr>
          <w:rFonts w:hint="eastAsia"/>
        </w:rPr>
        <w:t>等应按规定</w:t>
      </w:r>
      <w:r>
        <w:t>持证上岗；</w:t>
      </w:r>
    </w:p>
    <w:p>
      <w:pPr>
        <w:pStyle w:val="137"/>
        <w:numPr>
          <w:ilvl w:val="0"/>
          <w:numId w:val="46"/>
        </w:numPr>
      </w:pPr>
      <w:r>
        <w:t>其他从业人员经</w:t>
      </w:r>
      <w:r>
        <w:rPr>
          <w:rFonts w:hint="eastAsia"/>
        </w:rPr>
        <w:t>相关</w:t>
      </w:r>
      <w:r>
        <w:t>培训合格后上岗</w:t>
      </w:r>
      <w:r>
        <w:rPr>
          <w:rFonts w:hint="eastAsia"/>
        </w:rPr>
        <w:t>。</w:t>
      </w:r>
    </w:p>
    <w:p>
      <w:pPr>
        <w:pStyle w:val="92"/>
        <w:spacing w:before="156" w:after="156"/>
      </w:pPr>
      <w:bookmarkStart w:id="321" w:name="_Toc1046"/>
      <w:bookmarkStart w:id="322" w:name="_Toc185837279"/>
      <w:bookmarkStart w:id="323" w:name="_Toc185950780"/>
      <w:bookmarkStart w:id="324" w:name="_Toc186118234"/>
      <w:bookmarkStart w:id="325" w:name="_Toc22393"/>
      <w:bookmarkStart w:id="326" w:name="_Toc23295"/>
      <w:bookmarkStart w:id="327" w:name="_Toc9193"/>
      <w:r>
        <w:rPr>
          <w:rFonts w:hint="eastAsia"/>
        </w:rPr>
        <w:t>安全培训</w:t>
      </w:r>
      <w:bookmarkEnd w:id="321"/>
      <w:bookmarkEnd w:id="322"/>
      <w:bookmarkEnd w:id="323"/>
      <w:bookmarkEnd w:id="324"/>
      <w:bookmarkEnd w:id="325"/>
      <w:bookmarkEnd w:id="326"/>
      <w:bookmarkEnd w:id="327"/>
    </w:p>
    <w:p>
      <w:pPr>
        <w:pStyle w:val="121"/>
        <w:spacing w:before="156" w:after="156"/>
      </w:pPr>
      <w:r>
        <w:rPr>
          <w:rFonts w:hint="eastAsia"/>
        </w:rPr>
        <w:t>资源配置</w:t>
      </w:r>
    </w:p>
    <w:p>
      <w:pPr>
        <w:pStyle w:val="55"/>
        <w:ind w:firstLine="420"/>
      </w:pPr>
      <w:r>
        <w:t>企</w:t>
      </w:r>
      <w:r>
        <w:rPr>
          <w:rFonts w:hint="eastAsia"/>
        </w:rPr>
        <w:t>业应提供所需的师资、场地、设备、教材和资金等资源</w:t>
      </w:r>
      <w:r>
        <w:t>。</w:t>
      </w:r>
    </w:p>
    <w:p>
      <w:pPr>
        <w:pStyle w:val="55"/>
        <w:ind w:firstLine="420"/>
      </w:pPr>
      <w:r>
        <w:rPr>
          <w:rFonts w:hint="eastAsia"/>
        </w:rPr>
        <w:t>宜建立安全培训师资队伍，并定期对其进行培训。</w:t>
      </w:r>
    </w:p>
    <w:p>
      <w:pPr>
        <w:pStyle w:val="121"/>
        <w:spacing w:before="156" w:after="156"/>
      </w:pPr>
      <w:r>
        <w:rPr>
          <w:rFonts w:hint="eastAsia"/>
        </w:rPr>
        <w:t>组织实施</w:t>
      </w:r>
    </w:p>
    <w:p>
      <w:pPr>
        <w:pStyle w:val="55"/>
        <w:ind w:firstLine="420"/>
      </w:pPr>
      <w:r>
        <w:rPr>
          <w:rFonts w:hint="eastAsia"/>
        </w:rPr>
        <w:t>企业应明确安全培训的责任部门、对象、内容、方式和时间等管理要求。</w:t>
      </w:r>
    </w:p>
    <w:p>
      <w:pPr>
        <w:pStyle w:val="55"/>
        <w:ind w:firstLine="420"/>
      </w:pPr>
      <w:r>
        <w:rPr>
          <w:rFonts w:hint="eastAsia"/>
        </w:rPr>
        <w:t>应定期识别安全培训需求，制定安全培训计划，并组织实施。</w:t>
      </w:r>
    </w:p>
    <w:p>
      <w:pPr>
        <w:pStyle w:val="55"/>
        <w:ind w:firstLine="420"/>
      </w:pPr>
      <w:r>
        <w:rPr>
          <w:rFonts w:hint="eastAsia"/>
        </w:rPr>
        <w:t>应对从业人员、相关方人员等进行相应的安全培训，安全培训内容、学时、方式等满足法定要求。</w:t>
      </w:r>
    </w:p>
    <w:p>
      <w:pPr>
        <w:pStyle w:val="55"/>
        <w:ind w:firstLine="420"/>
      </w:pPr>
      <w:r>
        <w:rPr>
          <w:rFonts w:hint="eastAsia"/>
        </w:rPr>
        <w:t>安全培训宜采取理论和实践相结合的形式，实践培训可采用实际操作、沉浸式体验等手段。</w:t>
      </w:r>
    </w:p>
    <w:p>
      <w:pPr>
        <w:pStyle w:val="55"/>
        <w:ind w:firstLine="420"/>
      </w:pPr>
      <w:r>
        <w:rPr>
          <w:rFonts w:hint="eastAsia"/>
        </w:rPr>
        <w:t>企业应及时对安全培训效果进行评估。</w:t>
      </w:r>
    </w:p>
    <w:p>
      <w:pPr>
        <w:pStyle w:val="121"/>
        <w:spacing w:before="156" w:after="156"/>
      </w:pPr>
      <w:r>
        <w:rPr>
          <w:rFonts w:hint="eastAsia"/>
        </w:rPr>
        <w:t>档案管理</w:t>
      </w:r>
    </w:p>
    <w:p>
      <w:pPr>
        <w:pStyle w:val="55"/>
        <w:ind w:firstLine="420"/>
      </w:pPr>
      <w:r>
        <w:t>企业应如实记录安全培训情况，建立安全培训档案</w:t>
      </w:r>
      <w:r>
        <w:rPr>
          <w:rFonts w:hint="eastAsia"/>
        </w:rPr>
        <w:t>。</w:t>
      </w:r>
    </w:p>
    <w:p>
      <w:pPr>
        <w:pStyle w:val="55"/>
        <w:ind w:firstLine="420"/>
      </w:pPr>
      <w:r>
        <w:rPr>
          <w:rFonts w:hint="eastAsia"/>
        </w:rPr>
        <w:t>宜运用信息化手段管理安全培训档案。</w:t>
      </w:r>
    </w:p>
    <w:p>
      <w:pPr>
        <w:pStyle w:val="92"/>
        <w:spacing w:before="156" w:after="156"/>
      </w:pPr>
      <w:bookmarkStart w:id="328" w:name="_Toc19939"/>
      <w:bookmarkStart w:id="329" w:name="_Toc19747"/>
      <w:bookmarkStart w:id="330" w:name="_Toc186118235"/>
      <w:bookmarkStart w:id="331" w:name="_Toc185950781"/>
      <w:bookmarkStart w:id="332" w:name="_Toc28760"/>
      <w:bookmarkStart w:id="333" w:name="_Toc3000"/>
      <w:r>
        <w:rPr>
          <w:rFonts w:hint="eastAsia"/>
        </w:rPr>
        <w:t>行为管控</w:t>
      </w:r>
      <w:bookmarkEnd w:id="328"/>
      <w:bookmarkEnd w:id="329"/>
      <w:bookmarkEnd w:id="330"/>
      <w:bookmarkEnd w:id="331"/>
      <w:bookmarkEnd w:id="332"/>
      <w:bookmarkEnd w:id="333"/>
    </w:p>
    <w:p>
      <w:pPr>
        <w:pStyle w:val="121"/>
        <w:spacing w:before="156" w:after="156"/>
      </w:pPr>
      <w:r>
        <w:rPr>
          <w:rFonts w:hint="eastAsia"/>
        </w:rPr>
        <w:t>行为规范</w:t>
      </w:r>
    </w:p>
    <w:p>
      <w:pPr>
        <w:pStyle w:val="55"/>
        <w:ind w:firstLine="420"/>
      </w:pPr>
      <w:r>
        <w:rPr>
          <w:rFonts w:hint="eastAsia"/>
        </w:rPr>
        <w:t>企业应加强对从业人员作业行为的安全管理，明确作业步骤、作业内容、作业标准、安全风险管控措施等内容，指导从业人员规范作业。</w:t>
      </w:r>
    </w:p>
    <w:p>
      <w:pPr>
        <w:pStyle w:val="121"/>
        <w:spacing w:before="156" w:after="156"/>
      </w:pPr>
      <w:r>
        <w:rPr>
          <w:rFonts w:hint="eastAsia"/>
        </w:rPr>
        <w:t>行为观察</w:t>
      </w:r>
    </w:p>
    <w:p>
      <w:pPr>
        <w:pStyle w:val="55"/>
        <w:ind w:firstLine="420"/>
      </w:pPr>
      <w:r>
        <w:rPr>
          <w:rFonts w:hint="eastAsia"/>
        </w:rPr>
        <w:t>企业应明确行为观察的对象、内容、流程等管理要求，依据操作规程、作业标准等开展从业人员行为观察，重点对从事新岗位、使用新工艺和新设备、不安全行为次数较多等人员进行行为观察。</w:t>
      </w:r>
    </w:p>
    <w:p>
      <w:pPr>
        <w:pStyle w:val="55"/>
        <w:ind w:firstLine="420"/>
      </w:pPr>
      <w:r>
        <w:rPr>
          <w:rFonts w:hint="eastAsia"/>
        </w:rPr>
        <w:t>行为观察内容包括：</w:t>
      </w:r>
    </w:p>
    <w:p>
      <w:pPr>
        <w:pStyle w:val="137"/>
        <w:numPr>
          <w:ilvl w:val="0"/>
          <w:numId w:val="47"/>
        </w:numPr>
      </w:pPr>
      <w:r>
        <w:t>从业人员</w:t>
      </w:r>
      <w:r>
        <w:rPr>
          <w:shd w:val="clear" w:color="auto" w:fill="FFFFFF"/>
        </w:rPr>
        <w:t>反应</w:t>
      </w:r>
      <w:r>
        <w:t>；</w:t>
      </w:r>
    </w:p>
    <w:p>
      <w:pPr>
        <w:pStyle w:val="137"/>
        <w:numPr>
          <w:ilvl w:val="0"/>
          <w:numId w:val="47"/>
        </w:numPr>
      </w:pPr>
      <w:r>
        <w:t>从业人员站位；</w:t>
      </w:r>
    </w:p>
    <w:p>
      <w:pPr>
        <w:pStyle w:val="137"/>
        <w:numPr>
          <w:ilvl w:val="0"/>
          <w:numId w:val="47"/>
        </w:numPr>
      </w:pPr>
      <w:r>
        <w:t>个体防护；</w:t>
      </w:r>
    </w:p>
    <w:p>
      <w:pPr>
        <w:pStyle w:val="137"/>
        <w:numPr>
          <w:ilvl w:val="0"/>
          <w:numId w:val="47"/>
        </w:numPr>
      </w:pPr>
      <w:r>
        <w:t>工具和设备；</w:t>
      </w:r>
    </w:p>
    <w:p>
      <w:pPr>
        <w:pStyle w:val="137"/>
        <w:numPr>
          <w:ilvl w:val="0"/>
          <w:numId w:val="47"/>
        </w:numPr>
      </w:pPr>
      <w:r>
        <w:t>作业或操作步骤；</w:t>
      </w:r>
    </w:p>
    <w:p>
      <w:pPr>
        <w:pStyle w:val="137"/>
        <w:numPr>
          <w:ilvl w:val="0"/>
          <w:numId w:val="47"/>
        </w:numPr>
      </w:pPr>
      <w:r>
        <w:t>人机工效；</w:t>
      </w:r>
    </w:p>
    <w:p>
      <w:pPr>
        <w:pStyle w:val="137"/>
        <w:numPr>
          <w:ilvl w:val="0"/>
          <w:numId w:val="47"/>
        </w:numPr>
      </w:pPr>
      <w:r>
        <w:t>作业环</w:t>
      </w:r>
      <w:r>
        <w:rPr>
          <w:rFonts w:hint="eastAsia"/>
        </w:rPr>
        <w:t>境。</w:t>
      </w:r>
    </w:p>
    <w:p>
      <w:pPr>
        <w:pStyle w:val="55"/>
        <w:ind w:firstLine="420"/>
      </w:pPr>
      <w:r>
        <w:rPr>
          <w:rFonts w:hint="eastAsia"/>
        </w:rPr>
        <w:t>行为观察后，应与被观察人员进行沟通，表扬安全行为，告知不规范行为及其潜在的安全风险。</w:t>
      </w:r>
    </w:p>
    <w:p>
      <w:pPr>
        <w:pStyle w:val="55"/>
        <w:ind w:firstLine="420"/>
      </w:pPr>
      <w:r>
        <w:rPr>
          <w:rFonts w:hint="eastAsia"/>
        </w:rPr>
        <w:t>企业应定期对行为观察情况进行统计分析，通过对工艺技术、设备设施、作业环境等方面进行改进，从根源上预防不安全行为的发生。</w:t>
      </w:r>
    </w:p>
    <w:p>
      <w:pPr>
        <w:pStyle w:val="121"/>
        <w:spacing w:before="156" w:after="156"/>
      </w:pPr>
      <w:r>
        <w:rPr>
          <w:rFonts w:hint="eastAsia"/>
        </w:rPr>
        <w:t>安全行为激励</w:t>
      </w:r>
    </w:p>
    <w:p>
      <w:pPr>
        <w:pStyle w:val="55"/>
        <w:ind w:firstLine="420"/>
      </w:pPr>
      <w:r>
        <w:rPr>
          <w:rFonts w:hint="eastAsia"/>
        </w:rPr>
        <w:t>企业应对从业人员在安全生产工作中的积极行为进行表彰奖励，引导从业人员养成良好的安全行为习惯。</w:t>
      </w:r>
    </w:p>
    <w:p>
      <w:pPr>
        <w:pStyle w:val="121"/>
        <w:spacing w:before="156" w:after="156"/>
      </w:pPr>
      <w:bookmarkStart w:id="334" w:name="_Toc31454"/>
      <w:r>
        <w:rPr>
          <w:rFonts w:hint="eastAsia"/>
        </w:rPr>
        <w:t>不安全行为管控</w:t>
      </w:r>
      <w:bookmarkEnd w:id="334"/>
    </w:p>
    <w:p>
      <w:pPr>
        <w:pStyle w:val="55"/>
        <w:ind w:firstLine="420"/>
      </w:pPr>
      <w:r>
        <w:rPr>
          <w:rFonts w:hint="eastAsia"/>
        </w:rPr>
        <w:t>企业应明确不安全行为的分级分类、认定标准等内容。</w:t>
      </w:r>
    </w:p>
    <w:p>
      <w:pPr>
        <w:pStyle w:val="55"/>
        <w:ind w:firstLine="420"/>
      </w:pPr>
      <w:r>
        <w:t>应</w:t>
      </w:r>
      <w:r>
        <w:rPr>
          <w:rFonts w:hint="eastAsia"/>
        </w:rPr>
        <w:t>开展</w:t>
      </w:r>
      <w:r>
        <w:t>不安全行为监督，及时</w:t>
      </w:r>
      <w:r>
        <w:rPr>
          <w:rFonts w:hint="eastAsia"/>
        </w:rPr>
        <w:t>制止和</w:t>
      </w:r>
      <w:r>
        <w:t>纠正不安全行为</w:t>
      </w:r>
      <w:r>
        <w:rPr>
          <w:rFonts w:hint="eastAsia"/>
        </w:rPr>
        <w:t>，并</w:t>
      </w:r>
      <w:r>
        <w:t>进行教育</w:t>
      </w:r>
      <w:r>
        <w:rPr>
          <w:rFonts w:hint="eastAsia"/>
        </w:rPr>
        <w:t>、</w:t>
      </w:r>
      <w:r>
        <w:t>矫正。</w:t>
      </w:r>
      <w:r>
        <w:rPr>
          <w:rFonts w:hint="eastAsia"/>
        </w:rPr>
        <w:t>宜采用视频监控、自动识别等数智化手段监督不安全行为。</w:t>
      </w:r>
    </w:p>
    <w:p>
      <w:pPr>
        <w:pStyle w:val="55"/>
        <w:ind w:firstLine="420"/>
      </w:pPr>
      <w:r>
        <w:t>应</w:t>
      </w:r>
      <w:r>
        <w:rPr>
          <w:rFonts w:hint="eastAsia"/>
        </w:rPr>
        <w:t>定期对</w:t>
      </w:r>
      <w:r>
        <w:t>不安全行为</w:t>
      </w:r>
      <w:r>
        <w:rPr>
          <w:rFonts w:hint="eastAsia"/>
        </w:rPr>
        <w:t>进行统计分析，查找</w:t>
      </w:r>
      <w:r>
        <w:t>不安全行为发生</w:t>
      </w:r>
      <w:r>
        <w:rPr>
          <w:rFonts w:hint="eastAsia"/>
        </w:rPr>
        <w:t>的</w:t>
      </w:r>
      <w:r>
        <w:t>规律</w:t>
      </w:r>
      <w:r>
        <w:rPr>
          <w:rFonts w:hint="eastAsia"/>
        </w:rPr>
        <w:t>和深层次原因</w:t>
      </w:r>
      <w:r>
        <w:t>，制定</w:t>
      </w:r>
      <w:r>
        <w:rPr>
          <w:rFonts w:hint="eastAsia"/>
        </w:rPr>
        <w:t>防范措施</w:t>
      </w:r>
      <w:r>
        <w:t>。</w:t>
      </w:r>
    </w:p>
    <w:p>
      <w:pPr>
        <w:pStyle w:val="93"/>
        <w:spacing w:before="312" w:after="312"/>
      </w:pPr>
      <w:bookmarkStart w:id="335" w:name="_Toc185950782"/>
      <w:bookmarkStart w:id="336" w:name="_Toc186118236"/>
      <w:bookmarkStart w:id="337" w:name="_Toc22754"/>
      <w:bookmarkStart w:id="338" w:name="_Toc5620"/>
      <w:bookmarkStart w:id="339" w:name="_Toc23443"/>
      <w:bookmarkStart w:id="340" w:name="_Toc25768"/>
      <w:r>
        <w:rPr>
          <w:rFonts w:hint="eastAsia"/>
        </w:rPr>
        <w:t>现场</w:t>
      </w:r>
      <w:bookmarkEnd w:id="335"/>
      <w:bookmarkEnd w:id="336"/>
      <w:bookmarkEnd w:id="337"/>
      <w:r>
        <w:rPr>
          <w:rFonts w:hint="eastAsia"/>
        </w:rPr>
        <w:t>管理</w:t>
      </w:r>
      <w:bookmarkEnd w:id="338"/>
      <w:bookmarkEnd w:id="339"/>
      <w:bookmarkEnd w:id="340"/>
    </w:p>
    <w:p>
      <w:pPr>
        <w:pStyle w:val="92"/>
        <w:spacing w:before="156" w:after="156"/>
      </w:pPr>
      <w:bookmarkStart w:id="341" w:name="_Toc186118237"/>
      <w:bookmarkStart w:id="342" w:name="_Toc9794"/>
      <w:bookmarkStart w:id="343" w:name="_Toc185950783"/>
      <w:bookmarkStart w:id="344" w:name="_Toc28057"/>
      <w:bookmarkStart w:id="345" w:name="_Toc22822"/>
      <w:bookmarkStart w:id="346" w:name="_Toc28201"/>
      <w:r>
        <w:rPr>
          <w:rFonts w:hint="eastAsia"/>
        </w:rPr>
        <w:t>作业环境与条件</w:t>
      </w:r>
      <w:bookmarkEnd w:id="341"/>
      <w:bookmarkEnd w:id="342"/>
      <w:bookmarkEnd w:id="343"/>
      <w:bookmarkEnd w:id="344"/>
      <w:bookmarkEnd w:id="345"/>
      <w:bookmarkEnd w:id="346"/>
    </w:p>
    <w:p>
      <w:pPr>
        <w:pStyle w:val="55"/>
        <w:ind w:firstLine="420"/>
      </w:pPr>
      <w:r>
        <w:rPr>
          <w:rFonts w:hint="eastAsia"/>
        </w:rPr>
        <w:t>企业应根据行业要求和特点，推进安全生产管理标准化建设，实现岗位操作行为规范化、设备设施本质安全化、作业环境器具</w:t>
      </w:r>
      <w:r>
        <w:rPr>
          <w:rFonts w:hint="eastAsia"/>
          <w:shd w:val="clear" w:color="auto" w:fill="FFFFFF"/>
        </w:rPr>
        <w:t>定置化</w:t>
      </w:r>
      <w:r>
        <w:rPr>
          <w:rFonts w:hint="eastAsia"/>
        </w:rPr>
        <w:t>，并持续改进。</w:t>
      </w:r>
    </w:p>
    <w:p>
      <w:pPr>
        <w:pStyle w:val="55"/>
        <w:ind w:firstLine="420"/>
      </w:pPr>
      <w:r>
        <w:rPr>
          <w:rFonts w:hint="eastAsia"/>
        </w:rPr>
        <w:t>应明确生产活动所涉及的生产和服务的全过程，确保生产作业全过程符合规章制度和操作规程的要求。宜对生产作业进行监视、监测和控制，留有安全冗余。</w:t>
      </w:r>
    </w:p>
    <w:p>
      <w:pPr>
        <w:pStyle w:val="55"/>
        <w:ind w:firstLine="420"/>
      </w:pPr>
      <w:r>
        <w:rPr>
          <w:rFonts w:hint="eastAsia"/>
        </w:rPr>
        <w:t>应明确建（构）筑物、生产区域道路、安全标志标识、照明、通风等生产现场环境的管理要求，实行定置管理，保持作业环境整洁，创造文明有序的作业环境。</w:t>
      </w:r>
    </w:p>
    <w:p>
      <w:pPr>
        <w:pStyle w:val="55"/>
        <w:ind w:firstLine="420"/>
      </w:pPr>
      <w:r>
        <w:rPr>
          <w:rFonts w:hint="eastAsia"/>
        </w:rPr>
        <w:t>企业应建立消防安全的管理要求，明确火灾预防、消防组织、灭火救援、监督检查等内容，落实消防安全责任制。配备消防器材、消防设备设施，定期检查维护。</w:t>
      </w:r>
    </w:p>
    <w:p>
      <w:pPr>
        <w:pStyle w:val="55"/>
        <w:ind w:firstLine="420"/>
      </w:pPr>
      <w:r>
        <w:rPr>
          <w:rFonts w:hint="eastAsia"/>
        </w:rPr>
        <w:t>应建立职业健康的管理要求，采取措施消除和控制影响健康的危害因素，为从业人员提供安全健康的工作环境、劳动条件，以及个体防护装备与用品。</w:t>
      </w:r>
    </w:p>
    <w:p>
      <w:pPr>
        <w:pStyle w:val="92"/>
        <w:spacing w:before="156" w:after="156"/>
      </w:pPr>
      <w:bookmarkStart w:id="347" w:name="_Toc186118238"/>
      <w:bookmarkStart w:id="348" w:name="_Toc185950784"/>
      <w:bookmarkStart w:id="349" w:name="_Toc13284"/>
      <w:bookmarkStart w:id="350" w:name="_Toc23019"/>
      <w:bookmarkStart w:id="351" w:name="_Toc11387"/>
      <w:bookmarkStart w:id="352" w:name="_Toc12684"/>
      <w:r>
        <w:rPr>
          <w:rFonts w:hint="eastAsia"/>
        </w:rPr>
        <w:t>设备设施</w:t>
      </w:r>
      <w:bookmarkEnd w:id="347"/>
      <w:bookmarkEnd w:id="348"/>
      <w:bookmarkEnd w:id="349"/>
      <w:bookmarkEnd w:id="350"/>
      <w:bookmarkEnd w:id="351"/>
      <w:bookmarkEnd w:id="352"/>
    </w:p>
    <w:p>
      <w:pPr>
        <w:pStyle w:val="121"/>
        <w:spacing w:before="156" w:after="156"/>
      </w:pPr>
      <w:r>
        <w:rPr>
          <w:rFonts w:hint="eastAsia"/>
        </w:rPr>
        <w:t>一般要求</w:t>
      </w:r>
    </w:p>
    <w:p>
      <w:pPr>
        <w:pStyle w:val="55"/>
        <w:ind w:firstLine="420"/>
      </w:pPr>
      <w:r>
        <w:t>企业应</w:t>
      </w:r>
      <w:r>
        <w:rPr>
          <w:rFonts w:hint="eastAsia"/>
        </w:rPr>
        <w:t>明确</w:t>
      </w:r>
      <w:r>
        <w:t>设备设施</w:t>
      </w:r>
      <w:r>
        <w:rPr>
          <w:rFonts w:hint="eastAsia"/>
        </w:rPr>
        <w:t>采购、建设与验收、运行、</w:t>
      </w:r>
      <w:r>
        <w:t>检维修管理</w:t>
      </w:r>
      <w:r>
        <w:rPr>
          <w:rFonts w:hint="eastAsia"/>
        </w:rPr>
        <w:t>及作业、停用、拆除与</w:t>
      </w:r>
      <w:r>
        <w:t>报废</w:t>
      </w:r>
      <w:r>
        <w:rPr>
          <w:rFonts w:hint="eastAsia"/>
        </w:rPr>
        <w:t>等全生命周期的管理要求。</w:t>
      </w:r>
    </w:p>
    <w:p>
      <w:pPr>
        <w:pStyle w:val="55"/>
        <w:ind w:firstLine="420"/>
      </w:pPr>
      <w:r>
        <w:rPr>
          <w:rFonts w:hint="eastAsia"/>
        </w:rPr>
        <w:t>企业应按规定严格履行建设项目安全设施设计审查、施工、试运行、竣工验收等管理要求。</w:t>
      </w:r>
    </w:p>
    <w:p>
      <w:pPr>
        <w:pStyle w:val="55"/>
        <w:ind w:firstLine="420"/>
      </w:pPr>
      <w:r>
        <w:rPr>
          <w:rFonts w:hint="eastAsia"/>
        </w:rPr>
        <w:t>特种设备应委托具有专业资质的检测、检验机构进行定期检测、检验。</w:t>
      </w:r>
    </w:p>
    <w:p>
      <w:pPr>
        <w:pStyle w:val="121"/>
        <w:spacing w:before="156" w:after="156"/>
      </w:pPr>
      <w:r>
        <w:rPr>
          <w:rFonts w:hint="eastAsia"/>
        </w:rPr>
        <w:t>设备设施建设与验收</w:t>
      </w:r>
    </w:p>
    <w:p>
      <w:pPr>
        <w:pStyle w:val="55"/>
        <w:ind w:firstLine="420"/>
      </w:pPr>
      <w:r>
        <w:rPr>
          <w:rFonts w:hint="eastAsia"/>
        </w:rPr>
        <w:t>企业安全设施应与建设项目主体工程同时设计、同时施工、同时投入生产和使用，并确保企业总平面布置、建筑防火设计、消防设施和灭火器材配置等符合规定。</w:t>
      </w:r>
    </w:p>
    <w:p>
      <w:pPr>
        <w:pStyle w:val="55"/>
        <w:ind w:firstLine="420"/>
      </w:pPr>
      <w:r>
        <w:rPr>
          <w:rFonts w:hint="eastAsia"/>
        </w:rPr>
        <w:t>企业应购置、使用符合安全要求、质量合格的设备设施。</w:t>
      </w:r>
    </w:p>
    <w:p>
      <w:pPr>
        <w:pStyle w:val="55"/>
        <w:ind w:firstLine="420"/>
      </w:pPr>
      <w:r>
        <w:rPr>
          <w:rFonts w:hint="eastAsia"/>
        </w:rPr>
        <w:t>应对设备设施验收、调试的过程及结果进行如实记录。</w:t>
      </w:r>
    </w:p>
    <w:p>
      <w:pPr>
        <w:pStyle w:val="121"/>
        <w:spacing w:before="156" w:after="156"/>
      </w:pPr>
      <w:r>
        <w:rPr>
          <w:rFonts w:hint="eastAsia"/>
        </w:rPr>
        <w:t>设备设施运行</w:t>
      </w:r>
    </w:p>
    <w:p>
      <w:pPr>
        <w:pStyle w:val="55"/>
        <w:ind w:firstLine="420"/>
      </w:pPr>
      <w:r>
        <w:rPr>
          <w:rFonts w:hint="eastAsia"/>
        </w:rPr>
        <w:t>企业应对设备设施运行进行规范化管理，确保其始终处于安全可靠</w:t>
      </w:r>
      <w:r>
        <w:rPr>
          <w:rFonts w:hint="eastAsia"/>
          <w:shd w:val="clear" w:color="auto" w:fill="FFFFFF"/>
        </w:rPr>
        <w:t>的</w:t>
      </w:r>
      <w:r>
        <w:rPr>
          <w:rFonts w:hint="eastAsia"/>
        </w:rPr>
        <w:t>运行状态。</w:t>
      </w:r>
    </w:p>
    <w:p>
      <w:pPr>
        <w:pStyle w:val="55"/>
        <w:ind w:firstLine="420"/>
      </w:pPr>
      <w:r>
        <w:rPr>
          <w:rFonts w:hint="eastAsia"/>
        </w:rPr>
        <w:t>针对高温、高压和生产、使用、储存易燃、易爆、有毒、有害物质等危险性较大的设备设施，应按规定建立在线监测系统，对运行状态参数进行监测、监控、预警、跟踪分析和处理。</w:t>
      </w:r>
    </w:p>
    <w:p>
      <w:pPr>
        <w:pStyle w:val="55"/>
        <w:ind w:firstLine="420"/>
        <w:rPr>
          <w:rFonts w:ascii="Times New Roman"/>
        </w:rPr>
      </w:pPr>
      <w:r>
        <w:rPr>
          <w:rFonts w:hint="eastAsia"/>
        </w:rPr>
        <w:t>应安排人员负责管理安全设施以及检测与监测设备，定期检查维护。</w:t>
      </w:r>
    </w:p>
    <w:p>
      <w:pPr>
        <w:pStyle w:val="121"/>
        <w:spacing w:before="156" w:after="156"/>
      </w:pPr>
      <w:r>
        <w:rPr>
          <w:rFonts w:hint="eastAsia"/>
        </w:rPr>
        <w:t>设备设施检维修</w:t>
      </w:r>
    </w:p>
    <w:p>
      <w:pPr>
        <w:pStyle w:val="55"/>
        <w:ind w:firstLine="420"/>
      </w:pPr>
      <w:r>
        <w:rPr>
          <w:rFonts w:hint="eastAsia"/>
        </w:rPr>
        <w:t>企业应根据设备状况制定检维修计划，编制检维修规程，加强日常、定期、年度检维修以及临时抢修管理。</w:t>
      </w:r>
    </w:p>
    <w:p>
      <w:pPr>
        <w:pStyle w:val="55"/>
        <w:ind w:firstLine="420"/>
      </w:pPr>
      <w:r>
        <w:rPr>
          <w:rFonts w:hint="eastAsia"/>
        </w:rPr>
        <w:t>检维修设备投入使用前应保证安全设施及功能完好。因检维修拆除的安全设施，检维修完毕后应立即复原。</w:t>
      </w:r>
    </w:p>
    <w:p>
      <w:pPr>
        <w:pStyle w:val="121"/>
        <w:spacing w:before="156" w:after="156"/>
      </w:pPr>
      <w:r>
        <w:rPr>
          <w:rFonts w:hint="eastAsia"/>
        </w:rPr>
        <w:t>设备设施停用、拆除与报废</w:t>
      </w:r>
    </w:p>
    <w:p>
      <w:pPr>
        <w:pStyle w:val="55"/>
        <w:ind w:firstLine="420"/>
      </w:pPr>
      <w:r>
        <w:rPr>
          <w:rFonts w:hint="eastAsia"/>
        </w:rPr>
        <w:t>设备设施的停用、拆除与报废应履行审批程序。</w:t>
      </w:r>
    </w:p>
    <w:p>
      <w:pPr>
        <w:pStyle w:val="55"/>
        <w:ind w:firstLine="420"/>
      </w:pPr>
      <w:r>
        <w:rPr>
          <w:rFonts w:hint="eastAsia"/>
        </w:rPr>
        <w:t>应进行安全风险分析，制定作业方案，在现场设置明显的报废或停用设备设施标志，对相关作业人员进行培训和安全技术交底，严格</w:t>
      </w:r>
      <w:r>
        <w:t>按方案和许可内容组织落实</w:t>
      </w:r>
      <w:r>
        <w:rPr>
          <w:rFonts w:hint="eastAsia"/>
        </w:rPr>
        <w:t>。</w:t>
      </w:r>
    </w:p>
    <w:p>
      <w:pPr>
        <w:pStyle w:val="92"/>
        <w:spacing w:before="156" w:after="156"/>
      </w:pPr>
      <w:bookmarkStart w:id="353" w:name="_Toc11418"/>
      <w:bookmarkStart w:id="354" w:name="_Toc185950785"/>
      <w:bookmarkStart w:id="355" w:name="_Toc24166"/>
      <w:bookmarkStart w:id="356" w:name="_Toc1338"/>
      <w:bookmarkStart w:id="357" w:name="_Toc186118239"/>
      <w:bookmarkStart w:id="358" w:name="_Toc27180"/>
      <w:r>
        <w:rPr>
          <w:rFonts w:hint="eastAsia"/>
        </w:rPr>
        <w:t>危险作业</w:t>
      </w:r>
      <w:bookmarkEnd w:id="353"/>
      <w:bookmarkEnd w:id="354"/>
      <w:bookmarkEnd w:id="355"/>
      <w:bookmarkEnd w:id="356"/>
      <w:bookmarkEnd w:id="357"/>
      <w:bookmarkEnd w:id="358"/>
    </w:p>
    <w:p>
      <w:pPr>
        <w:pStyle w:val="55"/>
        <w:ind w:firstLine="420"/>
      </w:pPr>
      <w:r>
        <w:t>企业应</w:t>
      </w:r>
      <w:r>
        <w:rPr>
          <w:rFonts w:hint="eastAsia"/>
        </w:rPr>
        <w:t>建立危险作业的管理要求，明确危险</w:t>
      </w:r>
      <w:r>
        <w:t>作业的</w:t>
      </w:r>
      <w:r>
        <w:rPr>
          <w:rFonts w:hint="eastAsia"/>
        </w:rPr>
        <w:t>情形</w:t>
      </w:r>
      <w:r>
        <w:t>、分级、计划、许可、实施、监督检查等内容，对作业前、作业中、作业后进行</w:t>
      </w:r>
      <w:r>
        <w:rPr>
          <w:rFonts w:hint="eastAsia"/>
        </w:rPr>
        <w:t>闭环</w:t>
      </w:r>
      <w:r>
        <w:t>管理。</w:t>
      </w:r>
    </w:p>
    <w:p>
      <w:pPr>
        <w:pStyle w:val="55"/>
        <w:ind w:firstLine="420"/>
      </w:pPr>
      <w:r>
        <w:t>危险作业前，</w:t>
      </w:r>
      <w:r>
        <w:rPr>
          <w:rFonts w:hint="eastAsia"/>
        </w:rPr>
        <w:t>应开展</w:t>
      </w:r>
      <w:r>
        <w:t>安全风险分析</w:t>
      </w:r>
      <w:r>
        <w:rPr>
          <w:rFonts w:hint="eastAsia"/>
        </w:rPr>
        <w:t>，明确</w:t>
      </w:r>
      <w:r>
        <w:t>安全防护措施</w:t>
      </w:r>
      <w:r>
        <w:rPr>
          <w:rFonts w:hint="eastAsia"/>
        </w:rPr>
        <w:t>与</w:t>
      </w:r>
      <w:r>
        <w:t>应急</w:t>
      </w:r>
      <w:r>
        <w:rPr>
          <w:rFonts w:hint="eastAsia"/>
        </w:rPr>
        <w:t>措施，</w:t>
      </w:r>
      <w:r>
        <w:t>严格履行作业许可审批</w:t>
      </w:r>
      <w:r>
        <w:rPr>
          <w:rFonts w:hint="eastAsia"/>
        </w:rPr>
        <w:t>程序</w:t>
      </w:r>
      <w:r>
        <w:t>。</w:t>
      </w:r>
    </w:p>
    <w:p>
      <w:pPr>
        <w:pStyle w:val="55"/>
        <w:ind w:firstLine="420"/>
      </w:pPr>
      <w:r>
        <w:rPr>
          <w:rFonts w:hint="eastAsia"/>
        </w:rPr>
        <w:t>应检查作业人员准备情况，应对作业条件进行现场确认，并进行安全技术交底。</w:t>
      </w:r>
    </w:p>
    <w:p>
      <w:pPr>
        <w:pStyle w:val="55"/>
        <w:ind w:firstLine="420"/>
      </w:pPr>
      <w:r>
        <w:rPr>
          <w:rFonts w:hint="eastAsia"/>
        </w:rPr>
        <w:t>危险作业过程中，应按照操作规程和安全技术措施开展作业，</w:t>
      </w:r>
      <w:r>
        <w:t>指定专人现场监护</w:t>
      </w:r>
      <w:r>
        <w:rPr>
          <w:rFonts w:hint="eastAsia"/>
        </w:rPr>
        <w:t>，宜全程视频监控。</w:t>
      </w:r>
    </w:p>
    <w:p>
      <w:pPr>
        <w:pStyle w:val="55"/>
        <w:ind w:firstLine="420"/>
      </w:pPr>
      <w:r>
        <w:rPr>
          <w:rFonts w:hint="eastAsia"/>
        </w:rPr>
        <w:t>危险作业结束后，应进行完工确认。</w:t>
      </w:r>
    </w:p>
    <w:p>
      <w:pPr>
        <w:pStyle w:val="92"/>
        <w:spacing w:before="156" w:after="156"/>
      </w:pPr>
      <w:bookmarkStart w:id="359" w:name="_Toc185950786"/>
      <w:bookmarkStart w:id="360" w:name="_Toc5220"/>
      <w:bookmarkStart w:id="361" w:name="_Toc21662"/>
      <w:bookmarkStart w:id="362" w:name="_Toc186118240"/>
      <w:bookmarkStart w:id="363" w:name="_Toc21159"/>
      <w:bookmarkStart w:id="364" w:name="_Toc21205"/>
      <w:r>
        <w:rPr>
          <w:rFonts w:hint="eastAsia"/>
        </w:rPr>
        <w:t>异常处置</w:t>
      </w:r>
      <w:bookmarkEnd w:id="359"/>
      <w:bookmarkEnd w:id="360"/>
      <w:bookmarkEnd w:id="361"/>
      <w:bookmarkEnd w:id="362"/>
      <w:bookmarkEnd w:id="363"/>
      <w:bookmarkEnd w:id="364"/>
    </w:p>
    <w:p>
      <w:pPr>
        <w:pStyle w:val="55"/>
        <w:ind w:firstLine="420"/>
      </w:pPr>
      <w:r>
        <w:rPr>
          <w:rFonts w:hint="eastAsia"/>
        </w:rPr>
        <w:t>企业应建立生产过程中异常处置的管理要求，明确异常情形、处置流程等内容。</w:t>
      </w:r>
    </w:p>
    <w:p>
      <w:pPr>
        <w:pStyle w:val="55"/>
        <w:ind w:firstLine="420"/>
      </w:pPr>
      <w:r>
        <w:rPr>
          <w:rFonts w:hint="eastAsia"/>
        </w:rPr>
        <w:t>发现异常情况时，从业人员应立即报告、研判风险，采取有效措施予以处置。涉及危险作业的，应及时汇报本单位负责人。出现直接危及人身安全的紧急情况时，应立即停止作业、撤出人员。现场管理人员应根据异常情形实际情况，科学组织现场处置。</w:t>
      </w:r>
    </w:p>
    <w:p>
      <w:pPr>
        <w:pStyle w:val="55"/>
        <w:ind w:firstLine="420"/>
        <w:rPr>
          <w:rFonts w:hint="eastAsia" w:ascii="黑体" w:hAnsi="黑体" w:eastAsia="黑体" w:cs="黑体"/>
          <w:b/>
          <w:bCs/>
          <w:color w:val="000000"/>
        </w:rPr>
      </w:pPr>
      <w:r>
        <w:rPr>
          <w:rFonts w:hint="eastAsia"/>
        </w:rPr>
        <w:t>企业应对异常情况和处置结果进行回顾，根据实际情况完善异常处置流程，提升异常处置能力。</w:t>
      </w:r>
    </w:p>
    <w:p>
      <w:pPr>
        <w:pStyle w:val="92"/>
        <w:spacing w:before="156" w:after="156"/>
      </w:pPr>
      <w:bookmarkStart w:id="365" w:name="_Toc21012"/>
      <w:bookmarkStart w:id="366" w:name="_Toc9681"/>
      <w:bookmarkStart w:id="367" w:name="_Toc185950787"/>
      <w:bookmarkStart w:id="368" w:name="_Toc186118241"/>
      <w:bookmarkStart w:id="369" w:name="_Toc1787"/>
      <w:bookmarkStart w:id="370" w:name="_Toc3966"/>
      <w:r>
        <w:rPr>
          <w:rFonts w:hint="eastAsia"/>
        </w:rPr>
        <w:t>变更管理</w:t>
      </w:r>
      <w:bookmarkEnd w:id="365"/>
      <w:bookmarkEnd w:id="366"/>
      <w:bookmarkEnd w:id="367"/>
      <w:bookmarkEnd w:id="368"/>
      <w:bookmarkEnd w:id="369"/>
      <w:bookmarkEnd w:id="370"/>
    </w:p>
    <w:p>
      <w:pPr>
        <w:pStyle w:val="55"/>
        <w:ind w:firstLine="420"/>
      </w:pPr>
      <w:r>
        <w:rPr>
          <w:rFonts w:hint="eastAsia"/>
        </w:rPr>
        <w:t>企业</w:t>
      </w:r>
      <w:r>
        <w:t>应</w:t>
      </w:r>
      <w:r>
        <w:rPr>
          <w:rFonts w:hint="eastAsia"/>
        </w:rPr>
        <w:t>建立变更的管理要求，明确变更的申请、审批、实施、验收等内容。</w:t>
      </w:r>
    </w:p>
    <w:p>
      <w:pPr>
        <w:pStyle w:val="55"/>
        <w:ind w:firstLine="420"/>
      </w:pPr>
      <w:r>
        <w:rPr>
          <w:rFonts w:hint="eastAsia"/>
        </w:rPr>
        <w:t>应对变更可能导致的安全风险及其影响进行分析，制定相应的控制措施，履行审批程序，并告知和培训相关从业人员。</w:t>
      </w:r>
    </w:p>
    <w:p>
      <w:pPr>
        <w:pStyle w:val="55"/>
        <w:ind w:firstLine="420"/>
      </w:pPr>
      <w:r>
        <w:rPr>
          <w:rFonts w:hint="eastAsia"/>
        </w:rPr>
        <w:t>应</w:t>
      </w:r>
      <w:r>
        <w:t>对</w:t>
      </w:r>
      <w:r>
        <w:rPr>
          <w:rFonts w:hint="eastAsia"/>
        </w:rPr>
        <w:t>机构、人员、管理、工艺技术</w:t>
      </w:r>
      <w:r>
        <w:t>、设备</w:t>
      </w:r>
      <w:r>
        <w:rPr>
          <w:rFonts w:hint="eastAsia"/>
        </w:rPr>
        <w:t>设施、作业</w:t>
      </w:r>
      <w:r>
        <w:t>环境等变更的风险进行过程管控</w:t>
      </w:r>
      <w:r>
        <w:rPr>
          <w:rFonts w:hint="eastAsia"/>
        </w:rPr>
        <w:t>，并组织开展变更验收。</w:t>
      </w:r>
    </w:p>
    <w:p>
      <w:pPr>
        <w:pStyle w:val="55"/>
        <w:ind w:firstLine="420"/>
      </w:pPr>
      <w:r>
        <w:rPr>
          <w:rFonts w:hint="eastAsia"/>
        </w:rPr>
        <w:t>变更后，应及时修订规章制度、操作规程等文件。</w:t>
      </w:r>
    </w:p>
    <w:p>
      <w:pPr>
        <w:pStyle w:val="92"/>
        <w:spacing w:before="156" w:after="156"/>
      </w:pPr>
      <w:bookmarkStart w:id="371" w:name="_Toc185950788"/>
      <w:bookmarkStart w:id="372" w:name="_Toc27178"/>
      <w:bookmarkStart w:id="373" w:name="_Toc17929"/>
      <w:bookmarkStart w:id="374" w:name="_Toc6498"/>
      <w:bookmarkStart w:id="375" w:name="_Toc7735"/>
      <w:bookmarkStart w:id="376" w:name="_Toc186118242"/>
      <w:r>
        <w:rPr>
          <w:rFonts w:hint="eastAsia"/>
        </w:rPr>
        <w:t>相关方管理</w:t>
      </w:r>
      <w:bookmarkEnd w:id="371"/>
      <w:bookmarkEnd w:id="372"/>
      <w:bookmarkEnd w:id="373"/>
      <w:bookmarkEnd w:id="374"/>
      <w:bookmarkEnd w:id="375"/>
      <w:bookmarkEnd w:id="376"/>
    </w:p>
    <w:p>
      <w:pPr>
        <w:pStyle w:val="121"/>
        <w:spacing w:before="156" w:after="156"/>
      </w:pPr>
      <w:r>
        <w:rPr>
          <w:rFonts w:hint="eastAsia"/>
        </w:rPr>
        <w:t>承包商</w:t>
      </w:r>
    </w:p>
    <w:p>
      <w:pPr>
        <w:pStyle w:val="55"/>
        <w:ind w:firstLine="420"/>
      </w:pPr>
      <w:r>
        <w:rPr>
          <w:rFonts w:hint="eastAsia"/>
        </w:rPr>
        <w:t>企业应建立承包商安全管理要求，明确职责分工、安全准入条件、过程安全管控、安全生产绩效评价等内容。</w:t>
      </w:r>
    </w:p>
    <w:p>
      <w:pPr>
        <w:pStyle w:val="55"/>
        <w:ind w:firstLine="420"/>
      </w:pPr>
      <w:r>
        <w:rPr>
          <w:rFonts w:hint="eastAsia"/>
        </w:rPr>
        <w:t>应对外部委托项目进行分类管理，</w:t>
      </w:r>
      <w:r>
        <w:t>建立</w:t>
      </w:r>
      <w:r>
        <w:rPr>
          <w:rFonts w:hint="eastAsia"/>
        </w:rPr>
        <w:t>外部委托</w:t>
      </w:r>
      <w:r>
        <w:t>项目清单以及禁止外委、限制外委项目清单</w:t>
      </w:r>
      <w:r>
        <w:rPr>
          <w:rFonts w:hint="eastAsia"/>
        </w:rPr>
        <w:t>。</w:t>
      </w:r>
    </w:p>
    <w:p>
      <w:pPr>
        <w:pStyle w:val="55"/>
        <w:ind w:firstLine="420"/>
      </w:pPr>
      <w:r>
        <w:rPr>
          <w:rFonts w:hint="eastAsia"/>
        </w:rPr>
        <w:t>应将安全管理、诚信履约等情况作为承包商选择的重要内容，并与承包商签订安全管理协议，明确安全生产责任和要求。</w:t>
      </w:r>
    </w:p>
    <w:p>
      <w:pPr>
        <w:pStyle w:val="55"/>
        <w:ind w:firstLine="420"/>
      </w:pPr>
      <w:r>
        <w:rPr>
          <w:rFonts w:hint="eastAsia"/>
        </w:rPr>
        <w:t>在承包商入场前，应对人员资格、设备设施安全性能等进行核验，并对承包商人员进行安全培训，告知安全风险。</w:t>
      </w:r>
    </w:p>
    <w:p>
      <w:pPr>
        <w:pStyle w:val="55"/>
        <w:ind w:firstLine="420"/>
      </w:pPr>
      <w:r>
        <w:rPr>
          <w:rFonts w:hint="eastAsia"/>
        </w:rPr>
        <w:t>应</w:t>
      </w:r>
      <w:r>
        <w:t>对</w:t>
      </w:r>
      <w:r>
        <w:rPr>
          <w:rFonts w:hint="eastAsia"/>
        </w:rPr>
        <w:t>承包商进行全过程监督检查，定期考核，并纳入履约评价。</w:t>
      </w:r>
    </w:p>
    <w:p>
      <w:pPr>
        <w:pStyle w:val="121"/>
        <w:spacing w:before="156" w:after="156"/>
      </w:pPr>
      <w:r>
        <w:rPr>
          <w:rFonts w:hint="eastAsia"/>
        </w:rPr>
        <w:t>供应商</w:t>
      </w:r>
    </w:p>
    <w:p>
      <w:pPr>
        <w:pStyle w:val="55"/>
        <w:ind w:firstLine="420"/>
      </w:pPr>
      <w:r>
        <w:rPr>
          <w:rFonts w:hint="eastAsia"/>
        </w:rPr>
        <w:t>企业应</w:t>
      </w:r>
      <w:r>
        <w:t>对供应商提供</w:t>
      </w:r>
      <w:r>
        <w:rPr>
          <w:rFonts w:hint="eastAsia"/>
        </w:rPr>
        <w:t>的设备、材料等产品安全性能</w:t>
      </w:r>
      <w:r>
        <w:t>进行检查或验证</w:t>
      </w:r>
      <w:r>
        <w:rPr>
          <w:rFonts w:hint="eastAsia"/>
        </w:rPr>
        <w:t>，确保采购产品符合安全标准。</w:t>
      </w:r>
    </w:p>
    <w:p>
      <w:pPr>
        <w:pStyle w:val="55"/>
        <w:ind w:firstLine="420"/>
      </w:pPr>
      <w:r>
        <w:rPr>
          <w:rFonts w:hint="eastAsia"/>
        </w:rPr>
        <w:t>供应商人员提供入厂服务的，应纳入承包商管理。</w:t>
      </w:r>
    </w:p>
    <w:p>
      <w:pPr>
        <w:pStyle w:val="121"/>
        <w:spacing w:before="156" w:after="156"/>
      </w:pPr>
      <w:r>
        <w:rPr>
          <w:rFonts w:hint="eastAsia"/>
        </w:rPr>
        <w:t>其他外来人员</w:t>
      </w:r>
    </w:p>
    <w:p>
      <w:pPr>
        <w:pStyle w:val="55"/>
        <w:ind w:firstLine="420"/>
      </w:pPr>
      <w:r>
        <w:rPr>
          <w:rFonts w:hint="eastAsia"/>
        </w:rPr>
        <w:t>企业应明确进入企业检查、参观、学习等外来人员的管理要求，并通过适宜方式对进入生产作业场所的人员进行安全风险告知。</w:t>
      </w:r>
    </w:p>
    <w:bookmarkEnd w:id="305"/>
    <w:bookmarkEnd w:id="306"/>
    <w:p>
      <w:pPr>
        <w:pStyle w:val="93"/>
        <w:spacing w:before="312" w:after="312"/>
      </w:pPr>
      <w:bookmarkStart w:id="377" w:name="_Toc12974"/>
      <w:bookmarkStart w:id="378" w:name="_Toc185950789"/>
      <w:bookmarkStart w:id="379" w:name="_Toc25127"/>
      <w:bookmarkStart w:id="380" w:name="_Toc3100"/>
      <w:bookmarkStart w:id="381" w:name="_Toc185837288"/>
      <w:bookmarkStart w:id="382" w:name="_Toc1759"/>
      <w:bookmarkStart w:id="383" w:name="_Toc186118243"/>
      <w:r>
        <w:rPr>
          <w:rFonts w:hint="eastAsia"/>
        </w:rPr>
        <w:t>应急管理</w:t>
      </w:r>
      <w:bookmarkEnd w:id="377"/>
      <w:bookmarkEnd w:id="378"/>
      <w:bookmarkEnd w:id="379"/>
      <w:bookmarkEnd w:id="380"/>
      <w:bookmarkEnd w:id="381"/>
      <w:bookmarkEnd w:id="382"/>
      <w:bookmarkEnd w:id="383"/>
    </w:p>
    <w:p>
      <w:pPr>
        <w:pStyle w:val="92"/>
        <w:spacing w:before="156" w:after="156"/>
      </w:pPr>
      <w:bookmarkStart w:id="384" w:name="_Toc12609"/>
      <w:bookmarkStart w:id="385" w:name="_Toc185950790"/>
      <w:bookmarkStart w:id="386" w:name="_Toc9362"/>
      <w:bookmarkStart w:id="387" w:name="_Toc185837289"/>
      <w:bookmarkStart w:id="388" w:name="_Toc186118244"/>
      <w:bookmarkStart w:id="389" w:name="_Toc2316"/>
      <w:bookmarkStart w:id="390" w:name="_Toc7544"/>
      <w:r>
        <w:rPr>
          <w:rFonts w:hint="eastAsia"/>
        </w:rPr>
        <w:t>一般</w:t>
      </w:r>
      <w:r>
        <w:t>要求</w:t>
      </w:r>
      <w:bookmarkEnd w:id="384"/>
      <w:bookmarkEnd w:id="385"/>
      <w:bookmarkEnd w:id="386"/>
      <w:bookmarkEnd w:id="387"/>
      <w:bookmarkEnd w:id="388"/>
      <w:bookmarkEnd w:id="389"/>
      <w:bookmarkEnd w:id="390"/>
    </w:p>
    <w:p>
      <w:pPr>
        <w:pStyle w:val="55"/>
        <w:ind w:firstLine="420"/>
      </w:pPr>
      <w:r>
        <w:rPr>
          <w:rFonts w:hint="eastAsia"/>
        </w:rPr>
        <w:t>企业应建立应急管理要求，明确应急预案、队伍和物资、培训和演练、救援、恢复等内容。</w:t>
      </w:r>
    </w:p>
    <w:p>
      <w:pPr>
        <w:pStyle w:val="55"/>
        <w:ind w:firstLine="420"/>
      </w:pPr>
      <w:r>
        <w:rPr>
          <w:rFonts w:hint="eastAsia"/>
        </w:rPr>
        <w:t>宜建立应急管理平台，健全应急管理机制，提升险情灾情监测预警和应急处置能力、应急响应速度和应急决策科学性。</w:t>
      </w:r>
    </w:p>
    <w:p>
      <w:pPr>
        <w:pStyle w:val="55"/>
        <w:ind w:firstLine="420"/>
      </w:pPr>
      <w:r>
        <w:t>应</w:t>
      </w:r>
      <w:r>
        <w:rPr>
          <w:rFonts w:hint="eastAsia"/>
        </w:rPr>
        <w:t>及时获取自然灾害预警预报信息，分析研判自然灾害对安全生产的影响和冲击，采取防范应对措施，重点对易受自然灾害危害的场所、区域开展隐患排查治理工作。</w:t>
      </w:r>
    </w:p>
    <w:p>
      <w:pPr>
        <w:pStyle w:val="92"/>
        <w:spacing w:before="156" w:after="156"/>
      </w:pPr>
      <w:bookmarkStart w:id="391" w:name="_Toc25538"/>
      <w:bookmarkStart w:id="392" w:name="_Toc185837290"/>
      <w:bookmarkStart w:id="393" w:name="_Toc186118245"/>
      <w:bookmarkStart w:id="394" w:name="_Toc185950791"/>
      <w:bookmarkStart w:id="395" w:name="_Toc8917"/>
      <w:bookmarkStart w:id="396" w:name="_Toc14438"/>
      <w:bookmarkStart w:id="397" w:name="_Toc5532"/>
      <w:r>
        <w:rPr>
          <w:rFonts w:hint="eastAsia"/>
        </w:rPr>
        <w:t>应急准备</w:t>
      </w:r>
      <w:bookmarkEnd w:id="391"/>
      <w:bookmarkEnd w:id="392"/>
      <w:bookmarkEnd w:id="393"/>
      <w:bookmarkEnd w:id="394"/>
      <w:bookmarkEnd w:id="395"/>
      <w:bookmarkEnd w:id="396"/>
      <w:bookmarkEnd w:id="397"/>
    </w:p>
    <w:p>
      <w:pPr>
        <w:pStyle w:val="121"/>
        <w:spacing w:before="156" w:after="156"/>
      </w:pPr>
      <w:r>
        <w:rPr>
          <w:rFonts w:hint="eastAsia"/>
        </w:rPr>
        <w:t>应急预案</w:t>
      </w:r>
    </w:p>
    <w:p>
      <w:pPr>
        <w:pStyle w:val="55"/>
        <w:ind w:firstLine="420"/>
      </w:pPr>
      <w:r>
        <w:rPr>
          <w:rFonts w:hint="eastAsia"/>
        </w:rPr>
        <w:t>企业应在风险评估、资源调查、案例分析的基础上，根据可能发生的事故特点及危害，科学编制具有针对性和操作性的综合应急预案、专项应急预案和现场处置方案。应急预案应经评审、批准发布，</w:t>
      </w:r>
      <w:r>
        <w:t>并</w:t>
      </w:r>
      <w:r>
        <w:rPr>
          <w:rFonts w:hint="eastAsia"/>
        </w:rPr>
        <w:t>定期评估，适时修订。</w:t>
      </w:r>
    </w:p>
    <w:p>
      <w:pPr>
        <w:pStyle w:val="55"/>
        <w:ind w:firstLine="420"/>
      </w:pPr>
      <w:r>
        <w:rPr>
          <w:rFonts w:hint="eastAsia"/>
        </w:rPr>
        <w:t>宜结合岗位风险特点，编制应急处置卡，明确报告、处置、救援和避险等事故初期应急处置要求。</w:t>
      </w:r>
    </w:p>
    <w:p>
      <w:pPr>
        <w:pStyle w:val="55"/>
        <w:ind w:firstLine="420"/>
      </w:pPr>
      <w:r>
        <w:rPr>
          <w:rFonts w:hint="eastAsia"/>
        </w:rPr>
        <w:t>应急预案应与</w:t>
      </w:r>
      <w:r>
        <w:rPr>
          <w:rFonts w:hint="eastAsia"/>
          <w:shd w:val="clear" w:color="auto" w:fill="FFFFFF"/>
        </w:rPr>
        <w:t>相关联</w:t>
      </w:r>
      <w:r>
        <w:rPr>
          <w:rFonts w:hint="eastAsia"/>
        </w:rPr>
        <w:t>单位和地方政府的预案相互衔接，按规定备案，并通报应急救援队伍、周边企业等有关应急协作单位。</w:t>
      </w:r>
    </w:p>
    <w:p>
      <w:pPr>
        <w:pStyle w:val="121"/>
        <w:spacing w:before="156" w:after="156"/>
      </w:pPr>
      <w:r>
        <w:rPr>
          <w:rFonts w:hint="eastAsia"/>
        </w:rPr>
        <w:t>应急队伍和物资</w:t>
      </w:r>
    </w:p>
    <w:p>
      <w:pPr>
        <w:pStyle w:val="55"/>
        <w:ind w:firstLine="420"/>
      </w:pPr>
      <w:r>
        <w:rPr>
          <w:rFonts w:hint="eastAsia"/>
        </w:rPr>
        <w:t>企业应建立专（兼）职应急救援队伍，并与当地政府及其有关部门、邻近企业建立联动机制。不具备建立条件的，应与邻近的应急救援队伍签订应急救援协议。</w:t>
      </w:r>
    </w:p>
    <w:p>
      <w:pPr>
        <w:pStyle w:val="55"/>
        <w:ind w:firstLine="420"/>
      </w:pPr>
      <w:r>
        <w:rPr>
          <w:rFonts w:hint="eastAsia"/>
        </w:rPr>
        <w:t>应明确应急物资配备标准和要求，设置应急设施，配备应急装备，储备应急物资，并定期检查、维护、保养，确保其完好、可靠。</w:t>
      </w:r>
    </w:p>
    <w:p>
      <w:pPr>
        <w:pStyle w:val="121"/>
        <w:spacing w:before="156" w:after="156"/>
      </w:pPr>
      <w:r>
        <w:rPr>
          <w:rFonts w:hint="eastAsia"/>
        </w:rPr>
        <w:t>应急培训和演练</w:t>
      </w:r>
    </w:p>
    <w:p>
      <w:pPr>
        <w:pStyle w:val="55"/>
        <w:ind w:firstLine="420"/>
      </w:pPr>
      <w:r>
        <w:rPr>
          <w:rFonts w:hint="eastAsia"/>
        </w:rPr>
        <w:t>企业应定期组织覆盖一线从业人员的应急预案、应急知识、自救互救和避险逃生技能等培训，确保从业人员了解应急预案内容，熟悉应急处置流程，掌握自救技能，提升安全避险及现场应急能力。</w:t>
      </w:r>
    </w:p>
    <w:p>
      <w:pPr>
        <w:pStyle w:val="55"/>
        <w:ind w:firstLine="420"/>
      </w:pPr>
      <w:r>
        <w:rPr>
          <w:rFonts w:hint="eastAsia"/>
        </w:rPr>
        <w:t>应按规定制定应急演练计划，定期组织开展综合应急预案、专项应急预案、现场处置方案演练，并对演练情况进行记录、评估。</w:t>
      </w:r>
    </w:p>
    <w:p>
      <w:pPr>
        <w:pStyle w:val="55"/>
        <w:ind w:firstLine="420"/>
      </w:pPr>
      <w:r>
        <w:rPr>
          <w:rFonts w:hint="eastAsia"/>
        </w:rPr>
        <w:t>宜采取不预先通知的方式开展应急演练。</w:t>
      </w:r>
    </w:p>
    <w:p>
      <w:pPr>
        <w:pStyle w:val="92"/>
        <w:spacing w:before="156" w:after="156"/>
      </w:pPr>
      <w:bookmarkStart w:id="398" w:name="_Toc25252"/>
      <w:bookmarkStart w:id="399" w:name="_Toc185837291"/>
      <w:bookmarkStart w:id="400" w:name="_Toc185950792"/>
      <w:bookmarkStart w:id="401" w:name="_Toc11805"/>
      <w:bookmarkStart w:id="402" w:name="_Toc15594"/>
      <w:bookmarkStart w:id="403" w:name="_Toc16940"/>
      <w:bookmarkStart w:id="404" w:name="_Toc186118246"/>
      <w:r>
        <w:t>应急</w:t>
      </w:r>
      <w:r>
        <w:rPr>
          <w:rFonts w:hint="eastAsia"/>
        </w:rPr>
        <w:t>处置与救援</w:t>
      </w:r>
      <w:bookmarkEnd w:id="398"/>
      <w:bookmarkEnd w:id="399"/>
      <w:bookmarkEnd w:id="400"/>
      <w:bookmarkEnd w:id="401"/>
      <w:bookmarkEnd w:id="402"/>
      <w:bookmarkEnd w:id="403"/>
      <w:bookmarkEnd w:id="404"/>
    </w:p>
    <w:p>
      <w:pPr>
        <w:pStyle w:val="55"/>
        <w:ind w:firstLine="420"/>
      </w:pPr>
      <w:r>
        <w:rPr>
          <w:rFonts w:hint="eastAsia"/>
        </w:rPr>
        <w:t>企业应在突发事件或事故发生后，根据应急预案立即启动应急响应程序，按规定报告事件事故情况，在确保安全的前提下进行处置与救援：</w:t>
      </w:r>
    </w:p>
    <w:p>
      <w:pPr>
        <w:pStyle w:val="137"/>
        <w:numPr>
          <w:ilvl w:val="0"/>
          <w:numId w:val="48"/>
        </w:numPr>
      </w:pPr>
      <w:r>
        <w:rPr>
          <w:rFonts w:hint="eastAsia"/>
        </w:rPr>
        <w:t>迅速采取阻断或隔离事故源、危险源等控制措施，组织抢救遇险人员，并及时通知和撤离可能受到事故影响的单位和人员；</w:t>
      </w:r>
    </w:p>
    <w:p>
      <w:pPr>
        <w:pStyle w:val="137"/>
        <w:numPr>
          <w:ilvl w:val="0"/>
          <w:numId w:val="48"/>
        </w:numPr>
      </w:pPr>
      <w:r>
        <w:rPr>
          <w:rFonts w:hint="eastAsia"/>
        </w:rPr>
        <w:t>维护事故现场秩序，加强事故现场监测预警，研判事故发展态势，防止事故危害扩大和次生、衍生灾害发生，必要时请求外部应急救援队伍参加救援。</w:t>
      </w:r>
    </w:p>
    <w:p>
      <w:pPr>
        <w:pStyle w:val="55"/>
        <w:ind w:firstLine="420"/>
      </w:pPr>
      <w:r>
        <w:rPr>
          <w:rFonts w:hint="eastAsia"/>
        </w:rPr>
        <w:t>应及时准确发布有关信息，正确引导社会和公众舆论。</w:t>
      </w:r>
    </w:p>
    <w:p>
      <w:pPr>
        <w:pStyle w:val="55"/>
        <w:ind w:firstLine="420"/>
      </w:pPr>
      <w:r>
        <w:rPr>
          <w:rFonts w:hint="eastAsia"/>
        </w:rPr>
        <w:t>应在现场应急救援结束后，组织人员对现场进行检查确认，消除现场存在的不安全因素，并对应急救援情况进行总结评估。</w:t>
      </w:r>
    </w:p>
    <w:p>
      <w:pPr>
        <w:pStyle w:val="92"/>
        <w:spacing w:before="156" w:after="156"/>
      </w:pPr>
      <w:bookmarkStart w:id="405" w:name="_Toc185950793"/>
      <w:bookmarkStart w:id="406" w:name="_Toc4166"/>
      <w:bookmarkStart w:id="407" w:name="_Toc29166"/>
      <w:bookmarkStart w:id="408" w:name="_Toc9280"/>
      <w:bookmarkStart w:id="409" w:name="_Toc185837292"/>
      <w:bookmarkStart w:id="410" w:name="_Toc186118247"/>
      <w:bookmarkStart w:id="411" w:name="_Toc6935"/>
      <w:r>
        <w:t>应急</w:t>
      </w:r>
      <w:r>
        <w:rPr>
          <w:rFonts w:hint="eastAsia"/>
        </w:rPr>
        <w:t>恢复</w:t>
      </w:r>
      <w:bookmarkEnd w:id="405"/>
      <w:bookmarkEnd w:id="406"/>
      <w:bookmarkEnd w:id="407"/>
      <w:bookmarkEnd w:id="408"/>
      <w:bookmarkEnd w:id="409"/>
      <w:bookmarkEnd w:id="410"/>
      <w:bookmarkEnd w:id="411"/>
    </w:p>
    <w:p>
      <w:pPr>
        <w:pStyle w:val="55"/>
        <w:ind w:firstLine="420"/>
      </w:pPr>
      <w:r>
        <w:rPr>
          <w:rFonts w:hint="eastAsia"/>
        </w:rPr>
        <w:t>企业应制定恢复方案，在确保安全的前提下修复损毁的设备设施、生产环境等，满足安全生产条件后，方可恢复生产秩序。</w:t>
      </w:r>
    </w:p>
    <w:p>
      <w:pPr>
        <w:pStyle w:val="93"/>
        <w:spacing w:before="312" w:after="312"/>
      </w:pPr>
      <w:bookmarkStart w:id="412" w:name="_Toc185837293"/>
      <w:bookmarkStart w:id="413" w:name="_Toc186118248"/>
      <w:bookmarkStart w:id="414" w:name="_Toc31635"/>
      <w:bookmarkStart w:id="415" w:name="_Toc4884"/>
      <w:bookmarkStart w:id="416" w:name="_Toc185950794"/>
      <w:bookmarkStart w:id="417" w:name="_Toc34"/>
      <w:bookmarkStart w:id="418" w:name="_Toc25819"/>
      <w:r>
        <w:rPr>
          <w:rFonts w:hint="eastAsia"/>
        </w:rPr>
        <w:t>检查评价</w:t>
      </w:r>
      <w:bookmarkEnd w:id="412"/>
      <w:bookmarkEnd w:id="413"/>
      <w:bookmarkEnd w:id="414"/>
      <w:bookmarkEnd w:id="415"/>
      <w:bookmarkEnd w:id="416"/>
      <w:bookmarkEnd w:id="417"/>
      <w:bookmarkEnd w:id="418"/>
    </w:p>
    <w:p>
      <w:pPr>
        <w:pStyle w:val="92"/>
        <w:spacing w:before="156" w:after="156"/>
      </w:pPr>
      <w:bookmarkStart w:id="419" w:name="_Toc7146"/>
      <w:bookmarkStart w:id="420" w:name="_Toc12930"/>
      <w:bookmarkStart w:id="421" w:name="_Toc7765"/>
      <w:bookmarkStart w:id="422" w:name="_Toc186118249"/>
      <w:bookmarkStart w:id="423" w:name="_Toc185950795"/>
      <w:bookmarkStart w:id="424" w:name="_Toc185837294"/>
      <w:bookmarkStart w:id="425" w:name="_Toc18037"/>
      <w:r>
        <w:rPr>
          <w:rFonts w:hint="eastAsia"/>
        </w:rPr>
        <w:t>安全检查</w:t>
      </w:r>
      <w:bookmarkEnd w:id="419"/>
      <w:bookmarkEnd w:id="420"/>
      <w:bookmarkEnd w:id="421"/>
      <w:bookmarkEnd w:id="422"/>
      <w:bookmarkEnd w:id="423"/>
      <w:bookmarkEnd w:id="424"/>
      <w:bookmarkEnd w:id="425"/>
    </w:p>
    <w:p>
      <w:pPr>
        <w:pStyle w:val="55"/>
        <w:ind w:firstLine="420"/>
      </w:pPr>
      <w:r>
        <w:rPr>
          <w:rFonts w:hint="eastAsia"/>
        </w:rPr>
        <w:t>企业应明确安全检查的层级、内容、方式、频次等。</w:t>
      </w:r>
    </w:p>
    <w:p>
      <w:pPr>
        <w:pStyle w:val="55"/>
        <w:ind w:firstLine="420"/>
      </w:pPr>
      <w:r>
        <w:rPr>
          <w:rFonts w:hint="eastAsia"/>
        </w:rPr>
        <w:t>宜采用综合检查、专项检查、季节性检查、节假日检查、日常检查等方式，检查安全生产工作的合规性、安全风险管控的有效性和体系运行的符合性，对检查发现的问题及时整改。</w:t>
      </w:r>
    </w:p>
    <w:p>
      <w:pPr>
        <w:pStyle w:val="92"/>
        <w:spacing w:before="156" w:after="156"/>
      </w:pPr>
      <w:bookmarkStart w:id="426" w:name="_Toc31248"/>
      <w:bookmarkStart w:id="427" w:name="_Toc186118250"/>
      <w:bookmarkStart w:id="428" w:name="_Toc185950796"/>
      <w:bookmarkStart w:id="429" w:name="_Toc16691"/>
      <w:bookmarkStart w:id="430" w:name="_Toc17382"/>
      <w:bookmarkStart w:id="431" w:name="_Toc28978"/>
      <w:bookmarkStart w:id="432" w:name="_Toc185837295"/>
      <w:r>
        <w:rPr>
          <w:rFonts w:hint="eastAsia"/>
        </w:rPr>
        <w:t>绩效评价</w:t>
      </w:r>
      <w:bookmarkEnd w:id="426"/>
      <w:bookmarkEnd w:id="427"/>
      <w:bookmarkEnd w:id="428"/>
      <w:bookmarkEnd w:id="429"/>
      <w:bookmarkEnd w:id="430"/>
      <w:bookmarkEnd w:id="431"/>
      <w:bookmarkEnd w:id="432"/>
    </w:p>
    <w:p>
      <w:pPr>
        <w:pStyle w:val="55"/>
        <w:ind w:firstLine="420"/>
      </w:pPr>
      <w:r>
        <w:rPr>
          <w:rFonts w:hint="eastAsia"/>
        </w:rPr>
        <w:t>企业应建立安全生产绩效评价的管理要求，明确绩效评价的指标、周期、方式和结果应用等内容。</w:t>
      </w:r>
    </w:p>
    <w:p>
      <w:pPr>
        <w:pStyle w:val="55"/>
        <w:ind w:firstLine="420"/>
      </w:pPr>
      <w:r>
        <w:rPr>
          <w:rFonts w:hint="eastAsia"/>
        </w:rPr>
        <w:t>安全生产绩效评价指标的设置应覆盖安全管理各个方面，包括</w:t>
      </w:r>
      <w:r>
        <w:t>过程指标和结果指标</w:t>
      </w:r>
      <w:r>
        <w:rPr>
          <w:rFonts w:hint="eastAsia"/>
        </w:rPr>
        <w:t>。</w:t>
      </w:r>
    </w:p>
    <w:p>
      <w:pPr>
        <w:pStyle w:val="55"/>
        <w:ind w:firstLine="420"/>
      </w:pPr>
      <w:r>
        <w:rPr>
          <w:rFonts w:hint="eastAsia"/>
        </w:rPr>
        <w:t>企业应采用定性和定量相结合的方式</w:t>
      </w:r>
      <w:r>
        <w:t>开展</w:t>
      </w:r>
      <w:r>
        <w:rPr>
          <w:rFonts w:hint="eastAsia"/>
        </w:rPr>
        <w:t>安全生产</w:t>
      </w:r>
      <w:r>
        <w:t>绩效评价，</w:t>
      </w:r>
      <w:r>
        <w:rPr>
          <w:rFonts w:hint="eastAsia"/>
        </w:rPr>
        <w:t>公布评价结果。</w:t>
      </w:r>
    </w:p>
    <w:p>
      <w:pPr>
        <w:pStyle w:val="55"/>
        <w:ind w:firstLine="420"/>
      </w:pPr>
      <w:r>
        <w:rPr>
          <w:rFonts w:hint="eastAsia"/>
        </w:rPr>
        <w:t>宜设置安全生产奖励资金，对安全生产活动中表现突出的个人、单位进行表彰奖励。</w:t>
      </w:r>
    </w:p>
    <w:p>
      <w:pPr>
        <w:pStyle w:val="93"/>
        <w:spacing w:before="312" w:after="312"/>
      </w:pPr>
      <w:bookmarkStart w:id="433" w:name="_Toc185837296"/>
      <w:bookmarkStart w:id="434" w:name="_Toc11878"/>
      <w:bookmarkStart w:id="435" w:name="_Toc185950797"/>
      <w:bookmarkStart w:id="436" w:name="_Toc31118"/>
      <w:bookmarkStart w:id="437" w:name="_Toc1183"/>
      <w:bookmarkStart w:id="438" w:name="_Toc8263"/>
      <w:bookmarkStart w:id="439" w:name="_Toc186118251"/>
      <w:r>
        <w:rPr>
          <w:rFonts w:hint="eastAsia"/>
        </w:rPr>
        <w:t>持续改进</w:t>
      </w:r>
      <w:bookmarkEnd w:id="433"/>
      <w:bookmarkEnd w:id="434"/>
      <w:bookmarkEnd w:id="435"/>
      <w:bookmarkEnd w:id="436"/>
      <w:bookmarkEnd w:id="437"/>
      <w:bookmarkEnd w:id="438"/>
      <w:bookmarkEnd w:id="439"/>
    </w:p>
    <w:p>
      <w:pPr>
        <w:pStyle w:val="92"/>
        <w:spacing w:before="156" w:after="156"/>
      </w:pPr>
      <w:bookmarkStart w:id="440" w:name="_Toc10685"/>
      <w:bookmarkStart w:id="441" w:name="_Toc186118252"/>
      <w:bookmarkStart w:id="442" w:name="_Toc12569"/>
      <w:bookmarkStart w:id="443" w:name="_Toc185837297"/>
      <w:bookmarkStart w:id="444" w:name="_Toc436"/>
      <w:bookmarkStart w:id="445" w:name="_Toc185950798"/>
      <w:bookmarkStart w:id="446" w:name="_Toc2189"/>
      <w:r>
        <w:rPr>
          <w:rFonts w:hint="eastAsia"/>
        </w:rPr>
        <w:t>事件管理</w:t>
      </w:r>
      <w:bookmarkEnd w:id="440"/>
      <w:bookmarkEnd w:id="441"/>
      <w:bookmarkEnd w:id="442"/>
      <w:bookmarkEnd w:id="443"/>
      <w:bookmarkEnd w:id="444"/>
      <w:bookmarkEnd w:id="445"/>
      <w:bookmarkEnd w:id="446"/>
    </w:p>
    <w:p>
      <w:pPr>
        <w:pStyle w:val="121"/>
        <w:spacing w:before="156" w:after="156"/>
      </w:pPr>
      <w:r>
        <w:rPr>
          <w:rFonts w:hint="eastAsia"/>
        </w:rPr>
        <w:t>事故</w:t>
      </w:r>
    </w:p>
    <w:p>
      <w:pPr>
        <w:pStyle w:val="55"/>
        <w:ind w:firstLine="420"/>
      </w:pPr>
      <w:r>
        <w:rPr>
          <w:rFonts w:hint="eastAsia"/>
        </w:rPr>
        <w:t>企业应建立事故的管理要求，明确事故的分级分类、信息报告、调查处理等内容。</w:t>
      </w:r>
    </w:p>
    <w:p>
      <w:pPr>
        <w:pStyle w:val="55"/>
        <w:ind w:firstLine="420"/>
      </w:pPr>
      <w:r>
        <w:rPr>
          <w:rFonts w:hint="eastAsia"/>
        </w:rPr>
        <w:t>发生事故后，应及时、如实报告，妥善保护事故现场以及相关证据。事故报告后出现新情况的，应及时补报。</w:t>
      </w:r>
    </w:p>
    <w:p>
      <w:pPr>
        <w:pStyle w:val="55"/>
        <w:ind w:firstLine="420"/>
      </w:pPr>
      <w:r>
        <w:t>应</w:t>
      </w:r>
      <w:r>
        <w:rPr>
          <w:rFonts w:hint="eastAsia"/>
        </w:rPr>
        <w:t>成立内部事故调查组，</w:t>
      </w:r>
      <w:r>
        <w:t>明确其职责与权限，进行事故调查，</w:t>
      </w:r>
      <w:r>
        <w:rPr>
          <w:rFonts w:hint="eastAsia"/>
        </w:rPr>
        <w:t>查明事故</w:t>
      </w:r>
      <w:r>
        <w:t>原因，</w:t>
      </w:r>
      <w:r>
        <w:rPr>
          <w:rFonts w:hint="eastAsia"/>
        </w:rPr>
        <w:t>认定事故性质和责任，</w:t>
      </w:r>
      <w:r>
        <w:t>提出整改、防范措施和对责任人的处理建议</w:t>
      </w:r>
      <w:r>
        <w:rPr>
          <w:rFonts w:hint="eastAsia"/>
        </w:rPr>
        <w:t>。</w:t>
      </w:r>
    </w:p>
    <w:p>
      <w:pPr>
        <w:pStyle w:val="55"/>
        <w:ind w:firstLine="420"/>
      </w:pPr>
      <w:r>
        <w:rPr>
          <w:rFonts w:hint="eastAsia"/>
        </w:rPr>
        <w:t>应建立事故台账和档案，</w:t>
      </w:r>
      <w:r>
        <w:t>将</w:t>
      </w:r>
      <w:r>
        <w:rPr>
          <w:rFonts w:hint="eastAsia"/>
        </w:rPr>
        <w:t>相关方</w:t>
      </w:r>
      <w:r>
        <w:t>在</w:t>
      </w:r>
      <w:r>
        <w:rPr>
          <w:rFonts w:hint="eastAsia"/>
        </w:rPr>
        <w:t>本</w:t>
      </w:r>
      <w:r>
        <w:t>企业内部发生的事故纳入事故管理</w:t>
      </w:r>
      <w:r>
        <w:rPr>
          <w:rFonts w:hint="eastAsia"/>
        </w:rPr>
        <w:t>，并进行统计分析</w:t>
      </w:r>
      <w:r>
        <w:t>。</w:t>
      </w:r>
    </w:p>
    <w:p>
      <w:pPr>
        <w:pStyle w:val="55"/>
        <w:ind w:firstLine="420"/>
      </w:pPr>
      <w:r>
        <w:rPr>
          <w:rFonts w:hint="eastAsia"/>
        </w:rPr>
        <w:t>应开展事故案例警示教育活动，落实整改和防范措施，防止同类事故再次发生。</w:t>
      </w:r>
    </w:p>
    <w:p>
      <w:pPr>
        <w:pStyle w:val="121"/>
        <w:spacing w:before="156" w:after="156"/>
      </w:pPr>
      <w:r>
        <w:rPr>
          <w:rFonts w:hint="eastAsia"/>
        </w:rPr>
        <w:t>未遂事故</w:t>
      </w:r>
    </w:p>
    <w:p>
      <w:pPr>
        <w:pStyle w:val="55"/>
        <w:ind w:firstLine="420"/>
      </w:pPr>
      <w:r>
        <w:rPr>
          <w:rFonts w:hint="eastAsia"/>
        </w:rPr>
        <w:t>企业应明确未遂事故的范围，</w:t>
      </w:r>
      <w:r>
        <w:t>建立</w:t>
      </w:r>
      <w:r>
        <w:rPr>
          <w:rFonts w:hint="eastAsia"/>
        </w:rPr>
        <w:t>未遂事故</w:t>
      </w:r>
      <w:r>
        <w:t>台账，记录相关信息，查明原因，分析</w:t>
      </w:r>
      <w:r>
        <w:rPr>
          <w:rFonts w:hint="eastAsia"/>
        </w:rPr>
        <w:t>发生规律</w:t>
      </w:r>
      <w:r>
        <w:t>，</w:t>
      </w:r>
      <w:r>
        <w:rPr>
          <w:rFonts w:hint="eastAsia"/>
        </w:rPr>
        <w:t>采取措施</w:t>
      </w:r>
      <w:r>
        <w:t>防止同类事故发生</w:t>
      </w:r>
      <w:r>
        <w:rPr>
          <w:rFonts w:hint="eastAsia"/>
        </w:rPr>
        <w:t>。</w:t>
      </w:r>
    </w:p>
    <w:p>
      <w:pPr>
        <w:pStyle w:val="55"/>
        <w:ind w:firstLine="420"/>
      </w:pPr>
      <w:r>
        <w:t>鼓励从业人员主动报告</w:t>
      </w:r>
      <w:r>
        <w:rPr>
          <w:rFonts w:hint="eastAsia"/>
        </w:rPr>
        <w:t>未遂事故</w:t>
      </w:r>
      <w:r>
        <w:t>。</w:t>
      </w:r>
    </w:p>
    <w:p>
      <w:pPr>
        <w:pStyle w:val="92"/>
        <w:spacing w:before="156" w:after="156"/>
      </w:pPr>
      <w:bookmarkStart w:id="447" w:name="_Toc5316"/>
      <w:bookmarkStart w:id="448" w:name="_Toc186118253"/>
      <w:bookmarkStart w:id="449" w:name="_Toc185950799"/>
      <w:bookmarkStart w:id="450" w:name="_Toc185837298"/>
      <w:bookmarkStart w:id="451" w:name="_Toc8353"/>
      <w:bookmarkStart w:id="452" w:name="_Toc9517"/>
      <w:bookmarkStart w:id="453" w:name="_Toc31775"/>
      <w:r>
        <w:rPr>
          <w:rFonts w:hint="eastAsia"/>
        </w:rPr>
        <w:t>评审改进</w:t>
      </w:r>
      <w:bookmarkEnd w:id="447"/>
      <w:bookmarkEnd w:id="448"/>
      <w:bookmarkEnd w:id="449"/>
      <w:bookmarkEnd w:id="450"/>
      <w:bookmarkEnd w:id="451"/>
      <w:bookmarkEnd w:id="452"/>
      <w:bookmarkEnd w:id="453"/>
    </w:p>
    <w:p>
      <w:pPr>
        <w:pStyle w:val="55"/>
        <w:ind w:firstLine="420"/>
      </w:pPr>
      <w:r>
        <w:rPr>
          <w:rFonts w:hint="eastAsia"/>
        </w:rPr>
        <w:t>企业主要负责人应每年至少组织一次对安全生产标准化管理体系的适宜性、充分性和有效性进行评审。</w:t>
      </w:r>
    </w:p>
    <w:p>
      <w:pPr>
        <w:pStyle w:val="55"/>
        <w:ind w:firstLine="420"/>
      </w:pPr>
      <w:r>
        <w:rPr>
          <w:rFonts w:hint="eastAsia"/>
        </w:rPr>
        <w:t>评审输入应至少包括安全生产目标完成情况、安全风险分级管控与隐患排查治理情况</w:t>
      </w:r>
      <w:r>
        <w:t>、事故</w:t>
      </w:r>
      <w:r>
        <w:rPr>
          <w:rFonts w:hint="eastAsia"/>
        </w:rPr>
        <w:t>和未遂事故发生情况、合规评价结果、</w:t>
      </w:r>
      <w:r>
        <w:t>绩效评价</w:t>
      </w:r>
      <w:r>
        <w:rPr>
          <w:rFonts w:hint="eastAsia"/>
        </w:rPr>
        <w:t>结果、上一次评审输出的落实情况</w:t>
      </w:r>
      <w:r>
        <w:t>等。</w:t>
      </w:r>
    </w:p>
    <w:p>
      <w:pPr>
        <w:pStyle w:val="55"/>
        <w:ind w:firstLine="420"/>
      </w:pPr>
      <w:r>
        <w:t>评审输出应至少包括</w:t>
      </w:r>
      <w:r>
        <w:rPr>
          <w:rFonts w:hint="eastAsia"/>
        </w:rPr>
        <w:t>安全生产目标、安全生产重点工作安排部署、管理体系持续改进的事项和决定。</w:t>
      </w:r>
    </w:p>
    <w:p>
      <w:pPr>
        <w:pStyle w:val="55"/>
        <w:ind w:firstLine="420"/>
      </w:pPr>
      <w:r>
        <w:rPr>
          <w:rFonts w:hint="eastAsia"/>
        </w:rPr>
        <w:t>企业可采用年度安全工作会议或专项安全工作会议的方式实施评审。</w:t>
      </w:r>
    </w:p>
    <w:p>
      <w:pPr>
        <w:pStyle w:val="55"/>
        <w:ind w:firstLine="420"/>
        <w:sectPr>
          <w:headerReference r:id="rId11" w:type="default"/>
          <w:pgSz w:w="11906" w:h="16838"/>
          <w:pgMar w:top="1701" w:right="1701" w:bottom="1701" w:left="1701" w:header="851" w:footer="992" w:gutter="0"/>
          <w:cols w:space="720" w:num="1"/>
          <w:docGrid w:type="lines" w:linePitch="312" w:charSpace="0"/>
        </w:sectPr>
      </w:pPr>
      <w:r>
        <w:rPr>
          <w:rFonts w:hint="eastAsia"/>
        </w:rPr>
        <w:t>当企业外部环境、内部的组织机构和业务性质发生重大变化时，应开展附加评审。</w:t>
      </w:r>
    </w:p>
    <w:p>
      <w:pPr>
        <w:pStyle w:val="55"/>
        <w:ind w:firstLine="420"/>
      </w:pPr>
    </w:p>
    <w:bookmarkEnd w:id="39"/>
    <w:p>
      <w:pPr>
        <w:sectPr>
          <w:headerReference r:id="rId12" w:type="default"/>
          <w:footerReference r:id="rId13" w:type="default"/>
          <w:pgSz w:w="11906" w:h="16838"/>
          <w:pgMar w:top="1701" w:right="1701" w:bottom="1701" w:left="1701" w:header="851" w:footer="992" w:gutter="0"/>
          <w:cols w:space="720" w:num="1"/>
          <w:docGrid w:type="lines" w:linePitch="312" w:charSpace="0"/>
        </w:sectPr>
      </w:pPr>
    </w:p>
    <w:p/>
    <w:p>
      <w:pPr>
        <w:rPr>
          <w:rFonts w:hint="eastAsia" w:ascii="宋体" w:hAnsi="宋体" w:eastAsia="仿宋"/>
          <w:sz w:val="30"/>
          <w:szCs w:val="30"/>
        </w:rPr>
      </w:pPr>
    </w:p>
    <w:p>
      <w:pPr>
        <w:rPr>
          <w:rFonts w:hint="eastAsia" w:ascii="宋体" w:hAnsi="宋体" w:eastAsia="仿宋"/>
          <w:sz w:val="44"/>
          <w:szCs w:val="44"/>
        </w:rPr>
      </w:pPr>
    </w:p>
    <w:p>
      <w:pPr>
        <w:rPr>
          <w:rFonts w:hint="eastAsia" w:ascii="宋体" w:hAnsi="宋体" w:eastAsia="仿宋"/>
          <w:sz w:val="44"/>
          <w:szCs w:val="44"/>
        </w:rPr>
      </w:pPr>
    </w:p>
    <w:p>
      <w:pPr>
        <w:spacing w:line="240" w:lineRule="auto"/>
        <w:rPr>
          <w:rFonts w:hint="eastAsia" w:ascii="宋体" w:hAnsi="宋体" w:eastAsia="仿宋"/>
          <w:sz w:val="44"/>
          <w:szCs w:val="44"/>
        </w:rPr>
      </w:pPr>
    </w:p>
    <w:p>
      <w:pPr>
        <w:spacing w:line="240" w:lineRule="auto"/>
        <w:jc w:val="center"/>
        <w:rPr>
          <w:rFonts w:hint="eastAsia" w:ascii="宋体" w:hAnsi="宋体" w:eastAsia="方正小标宋简体"/>
          <w:sz w:val="40"/>
          <w:szCs w:val="40"/>
        </w:rPr>
      </w:pPr>
      <w:bookmarkStart w:id="454" w:name="_Toc2085077807_WPSOffice_Level2"/>
      <w:r>
        <w:rPr>
          <w:rFonts w:hint="eastAsia" w:ascii="宋体" w:hAnsi="宋体" w:eastAsia="方正小标宋简体"/>
          <w:sz w:val="40"/>
          <w:szCs w:val="40"/>
        </w:rPr>
        <w:t>《大中型企业安全生产标准化管理体系要求》</w:t>
      </w:r>
    </w:p>
    <w:p>
      <w:pPr>
        <w:spacing w:line="240" w:lineRule="auto"/>
        <w:jc w:val="center"/>
        <w:rPr>
          <w:rFonts w:hint="eastAsia" w:ascii="宋体" w:hAnsi="宋体" w:eastAsia="仿宋_GB2312"/>
          <w:sz w:val="32"/>
          <w:szCs w:val="32"/>
        </w:rPr>
      </w:pPr>
    </w:p>
    <w:p>
      <w:pPr>
        <w:spacing w:line="240" w:lineRule="auto"/>
        <w:jc w:val="center"/>
        <w:rPr>
          <w:rFonts w:hint="eastAsia" w:ascii="宋体" w:hAnsi="宋体" w:eastAsia="仿宋_GB2312"/>
          <w:sz w:val="32"/>
          <w:szCs w:val="32"/>
        </w:rPr>
      </w:pPr>
    </w:p>
    <w:p>
      <w:pPr>
        <w:spacing w:line="240" w:lineRule="auto"/>
        <w:jc w:val="center"/>
        <w:rPr>
          <w:rFonts w:hint="eastAsia" w:ascii="宋体" w:hAnsi="宋体" w:eastAsia="仿宋_GB2312"/>
          <w:sz w:val="32"/>
          <w:szCs w:val="32"/>
        </w:rPr>
      </w:pPr>
      <w:r>
        <w:rPr>
          <w:rFonts w:hint="eastAsia" w:ascii="宋体" w:hAnsi="宋体" w:eastAsia="仿宋_GB2312"/>
          <w:sz w:val="32"/>
          <w:szCs w:val="32"/>
        </w:rPr>
        <w:t>（☑征求意见稿</w:t>
      </w:r>
      <w:r>
        <w:rPr>
          <w:rFonts w:ascii="宋体" w:hAnsi="宋体" w:eastAsia="仿宋_GB2312"/>
          <w:sz w:val="32"/>
          <w:szCs w:val="32"/>
        </w:rPr>
        <w:t xml:space="preserve">  </w:t>
      </w:r>
      <w:r>
        <w:rPr>
          <w:rFonts w:hint="eastAsia" w:ascii="宋体" w:hAnsi="宋体" w:eastAsia="仿宋_GB2312"/>
          <w:sz w:val="32"/>
          <w:szCs w:val="32"/>
        </w:rPr>
        <w:t>□送审稿</w:t>
      </w:r>
      <w:r>
        <w:rPr>
          <w:rFonts w:ascii="宋体" w:hAnsi="宋体" w:eastAsia="仿宋_GB2312"/>
          <w:sz w:val="32"/>
          <w:szCs w:val="32"/>
        </w:rPr>
        <w:t xml:space="preserve">  </w:t>
      </w:r>
      <w:r>
        <w:rPr>
          <w:rFonts w:hint="eastAsia" w:ascii="宋体" w:hAnsi="宋体" w:eastAsia="仿宋_GB2312"/>
          <w:sz w:val="32"/>
          <w:szCs w:val="32"/>
        </w:rPr>
        <w:t>□报批稿）</w:t>
      </w:r>
    </w:p>
    <w:p>
      <w:pPr>
        <w:spacing w:line="240" w:lineRule="auto"/>
        <w:jc w:val="center"/>
        <w:rPr>
          <w:rFonts w:hint="eastAsia" w:ascii="宋体" w:hAnsi="宋体" w:eastAsia="方正小标宋简体"/>
          <w:sz w:val="44"/>
          <w:szCs w:val="44"/>
        </w:rPr>
      </w:pPr>
    </w:p>
    <w:p>
      <w:pPr>
        <w:spacing w:line="240" w:lineRule="auto"/>
        <w:jc w:val="center"/>
        <w:rPr>
          <w:rFonts w:hint="eastAsia" w:ascii="宋体" w:hAnsi="宋体" w:eastAsia="方正小标宋简体"/>
          <w:sz w:val="44"/>
          <w:szCs w:val="44"/>
        </w:rPr>
      </w:pPr>
    </w:p>
    <w:p>
      <w:pPr>
        <w:spacing w:line="240" w:lineRule="auto"/>
        <w:jc w:val="center"/>
        <w:rPr>
          <w:rFonts w:hint="eastAsia" w:ascii="宋体" w:hAnsi="宋体" w:eastAsia="黑体" w:cs="黑体"/>
          <w:sz w:val="44"/>
          <w:szCs w:val="44"/>
        </w:rPr>
      </w:pPr>
      <w:r>
        <w:rPr>
          <w:rFonts w:hint="eastAsia" w:ascii="宋体" w:hAnsi="宋体" w:eastAsia="黑体" w:cs="黑体"/>
          <w:sz w:val="44"/>
          <w:szCs w:val="44"/>
        </w:rPr>
        <w:t>编制说明</w:t>
      </w:r>
      <w:bookmarkEnd w:id="454"/>
    </w:p>
    <w:p>
      <w:pPr>
        <w:jc w:val="center"/>
        <w:rPr>
          <w:rFonts w:hint="eastAsia" w:ascii="宋体" w:hAnsi="宋体" w:eastAsia="仿宋"/>
          <w:b/>
          <w:bCs/>
          <w:i/>
          <w:iCs/>
          <w:sz w:val="28"/>
          <w:szCs w:val="28"/>
        </w:rPr>
      </w:pPr>
      <w:r>
        <w:rPr>
          <w:rFonts w:ascii="宋体" w:hAnsi="宋体" w:eastAsia="仿宋"/>
          <w:i/>
          <w:iCs/>
          <w:sz w:val="28"/>
          <w:szCs w:val="28"/>
        </w:rPr>
        <w:br w:type="textWrapping"/>
      </w:r>
    </w:p>
    <w:p>
      <w:pPr>
        <w:jc w:val="center"/>
        <w:rPr>
          <w:rFonts w:hint="eastAsia" w:ascii="宋体" w:hAnsi="宋体" w:eastAsia="仿宋_GB2312"/>
          <w:i/>
          <w:iCs/>
          <w:sz w:val="28"/>
          <w:szCs w:val="28"/>
        </w:rPr>
      </w:pPr>
    </w:p>
    <w:p>
      <w:pPr>
        <w:jc w:val="center"/>
        <w:rPr>
          <w:rFonts w:hint="eastAsia" w:ascii="宋体" w:hAnsi="宋体" w:eastAsia="仿宋_GB2312"/>
          <w:i/>
          <w:iCs/>
          <w:sz w:val="28"/>
          <w:szCs w:val="28"/>
        </w:rPr>
      </w:pPr>
    </w:p>
    <w:p>
      <w:pPr>
        <w:rPr>
          <w:rFonts w:hint="eastAsia" w:ascii="宋体" w:hAnsi="宋体" w:eastAsia="仿宋_GB2312"/>
          <w:i/>
          <w:iCs/>
          <w:sz w:val="28"/>
          <w:szCs w:val="28"/>
        </w:rPr>
      </w:pPr>
    </w:p>
    <w:p>
      <w:pPr>
        <w:rPr>
          <w:rFonts w:hint="eastAsia" w:ascii="宋体" w:hAnsi="宋体" w:eastAsia="仿宋_GB2312"/>
          <w:i/>
          <w:iCs/>
          <w:sz w:val="28"/>
          <w:szCs w:val="28"/>
        </w:rPr>
      </w:pPr>
    </w:p>
    <w:p>
      <w:pPr>
        <w:rPr>
          <w:rFonts w:hint="eastAsia" w:ascii="宋体" w:hAnsi="宋体" w:eastAsia="仿宋_GB2312"/>
          <w:i/>
          <w:iCs/>
          <w:sz w:val="28"/>
          <w:szCs w:val="28"/>
        </w:rPr>
      </w:pPr>
    </w:p>
    <w:p>
      <w:pPr>
        <w:rPr>
          <w:rFonts w:hint="eastAsia" w:ascii="宋体" w:hAnsi="宋体" w:eastAsia="仿宋_GB2312"/>
          <w:i/>
          <w:iCs/>
          <w:sz w:val="28"/>
          <w:szCs w:val="28"/>
        </w:rPr>
      </w:pPr>
    </w:p>
    <w:p>
      <w:pPr>
        <w:jc w:val="center"/>
        <w:rPr>
          <w:rFonts w:hint="eastAsia" w:ascii="宋体" w:hAnsi="宋体" w:eastAsia="仿宋_GB2312"/>
          <w:i/>
          <w:iCs/>
          <w:sz w:val="28"/>
          <w:szCs w:val="28"/>
        </w:rPr>
      </w:pPr>
    </w:p>
    <w:p>
      <w:pPr>
        <w:jc w:val="center"/>
        <w:rPr>
          <w:rFonts w:hint="eastAsia" w:ascii="宋体" w:hAnsi="宋体" w:eastAsia="仿宋_GB2312"/>
          <w:i/>
          <w:iCs/>
          <w:sz w:val="28"/>
          <w:szCs w:val="28"/>
        </w:rPr>
      </w:pPr>
    </w:p>
    <w:p>
      <w:pPr>
        <w:jc w:val="center"/>
        <w:rPr>
          <w:rFonts w:hint="eastAsia" w:ascii="宋体" w:hAnsi="宋体" w:eastAsia="仿宋_GB2312"/>
          <w:i/>
          <w:iCs/>
          <w:sz w:val="28"/>
          <w:szCs w:val="28"/>
        </w:rPr>
      </w:pPr>
    </w:p>
    <w:p>
      <w:pPr>
        <w:jc w:val="center"/>
        <w:rPr>
          <w:rFonts w:hint="eastAsia" w:ascii="宋体" w:hAnsi="宋体" w:eastAsia="仿宋_GB2312"/>
          <w:i/>
          <w:iCs/>
          <w:sz w:val="28"/>
          <w:szCs w:val="28"/>
        </w:rPr>
      </w:pPr>
    </w:p>
    <w:p>
      <w:pPr>
        <w:rPr>
          <w:rFonts w:hint="eastAsia" w:ascii="宋体" w:hAnsi="宋体" w:eastAsia="仿宋_GB2312"/>
          <w:sz w:val="28"/>
          <w:szCs w:val="28"/>
        </w:rPr>
      </w:pPr>
    </w:p>
    <w:p>
      <w:pPr>
        <w:jc w:val="center"/>
        <w:rPr>
          <w:rFonts w:hint="eastAsia" w:ascii="宋体" w:hAnsi="宋体" w:eastAsia="仿宋_GB2312" w:cs="仿宋_GB2312"/>
          <w:sz w:val="32"/>
          <w:szCs w:val="32"/>
        </w:rPr>
      </w:pPr>
      <w:r>
        <w:rPr>
          <w:rFonts w:hint="eastAsia" w:ascii="宋体" w:hAnsi="宋体" w:eastAsia="仿宋_GB2312" w:cs="仿宋_GB2312"/>
          <w:sz w:val="32"/>
          <w:szCs w:val="32"/>
        </w:rPr>
        <w:t>标准编制组</w:t>
      </w:r>
    </w:p>
    <w:p>
      <w:pPr>
        <w:jc w:val="center"/>
        <w:rPr>
          <w:rFonts w:hint="eastAsia" w:ascii="宋体" w:hAnsi="宋体"/>
          <w:b/>
          <w:sz w:val="32"/>
          <w:szCs w:val="32"/>
        </w:rPr>
      </w:pPr>
      <w:r>
        <w:rPr>
          <w:rFonts w:hint="eastAsia" w:ascii="宋体" w:hAnsi="宋体" w:eastAsia="仿宋_GB2312" w:cs="仿宋_GB2312"/>
          <w:sz w:val="32"/>
          <w:szCs w:val="32"/>
        </w:rPr>
        <w:t>2025年2月</w:t>
      </w:r>
    </w:p>
    <w:p>
      <w:pPr>
        <w:ind w:firstLine="880" w:firstLineChars="200"/>
        <w:jc w:val="center"/>
        <w:rPr>
          <w:rFonts w:hint="eastAsia" w:ascii="宋体" w:hAnsi="宋体" w:eastAsia="方正小标宋_GBK" w:cs="方正小标宋_GBK"/>
          <w:sz w:val="44"/>
          <w:szCs w:val="44"/>
        </w:rPr>
        <w:sectPr>
          <w:footerReference r:id="rId14" w:type="default"/>
          <w:pgSz w:w="11906" w:h="16838"/>
          <w:pgMar w:top="1701" w:right="1701" w:bottom="1701" w:left="1701" w:header="851" w:footer="992" w:gutter="0"/>
          <w:cols w:space="720" w:num="1"/>
          <w:docGrid w:type="lines" w:linePitch="312" w:charSpace="0"/>
        </w:sectPr>
      </w:pPr>
    </w:p>
    <w:p>
      <w:pPr>
        <w:widowControl/>
        <w:spacing w:line="560" w:lineRule="exact"/>
        <w:ind w:firstLine="640" w:firstLineChars="200"/>
        <w:outlineLvl w:val="0"/>
        <w:rPr>
          <w:rFonts w:hint="eastAsia" w:ascii="宋体" w:hAnsi="宋体" w:eastAsia="黑体"/>
          <w:sz w:val="32"/>
          <w:szCs w:val="32"/>
        </w:rPr>
      </w:pPr>
      <w:r>
        <w:rPr>
          <w:rFonts w:hint="eastAsia" w:ascii="宋体" w:hAnsi="宋体" w:eastAsia="黑体"/>
          <w:sz w:val="32"/>
          <w:szCs w:val="32"/>
        </w:rPr>
        <w:t>一、工作简况</w:t>
      </w:r>
    </w:p>
    <w:p>
      <w:pPr>
        <w:spacing w:line="560" w:lineRule="exact"/>
        <w:ind w:firstLine="640" w:firstLineChars="200"/>
        <w:rPr>
          <w:rFonts w:hint="eastAsia" w:ascii="宋体" w:hAnsi="宋体" w:eastAsia="楷体"/>
          <w:sz w:val="32"/>
          <w:szCs w:val="32"/>
          <w:shd w:val="clear" w:color="auto" w:fill="FFFFFF"/>
        </w:rPr>
      </w:pPr>
      <w:r>
        <w:rPr>
          <w:rFonts w:hint="eastAsia" w:ascii="宋体" w:hAnsi="宋体" w:eastAsia="楷体"/>
          <w:sz w:val="32"/>
          <w:szCs w:val="32"/>
          <w:shd w:val="clear" w:color="auto" w:fill="FFFFFF"/>
        </w:rPr>
        <w:t>（一）任务来源</w:t>
      </w:r>
    </w:p>
    <w:p>
      <w:pPr>
        <w:spacing w:line="560" w:lineRule="exact"/>
        <w:ind w:firstLine="640" w:firstLineChars="200"/>
        <w:rPr>
          <w:rFonts w:hint="eastAsia" w:ascii="宋体" w:hAnsi="宋体" w:eastAsia="仿宋_GB2312"/>
          <w:iCs/>
          <w:sz w:val="32"/>
          <w:szCs w:val="32"/>
          <w:shd w:val="clear" w:color="auto" w:fill="FFFFFF"/>
        </w:rPr>
      </w:pPr>
      <w:r>
        <w:rPr>
          <w:rFonts w:hint="eastAsia" w:ascii="宋体" w:hAnsi="宋体" w:eastAsia="仿宋_GB2312"/>
          <w:iCs/>
          <w:sz w:val="32"/>
          <w:szCs w:val="32"/>
          <w:shd w:val="clear" w:color="auto" w:fill="FFFFFF"/>
        </w:rPr>
        <w:t>根据《国家标准化管理委员会关于下达2022年第二批推荐性国家标准计划及相关标准外文版计划的通知》（国标委发〔2022〕22号）要求，推荐性国家标准《企业安全生产标准化基本规范》的计划编号：20220586-T-450，项目周期16个月，由应急管理部主管，全国安全生产标准化技术委员会（TC288）归口。</w:t>
      </w:r>
    </w:p>
    <w:p>
      <w:pPr>
        <w:spacing w:line="560" w:lineRule="exact"/>
        <w:ind w:firstLine="640" w:firstLineChars="200"/>
        <w:rPr>
          <w:rFonts w:hint="eastAsia" w:ascii="宋体" w:hAnsi="宋体" w:eastAsia="楷体"/>
          <w:sz w:val="32"/>
          <w:szCs w:val="32"/>
          <w:shd w:val="clear" w:color="auto" w:fill="FFFFFF"/>
        </w:rPr>
      </w:pPr>
      <w:r>
        <w:rPr>
          <w:rFonts w:hint="eastAsia" w:ascii="宋体" w:hAnsi="宋体" w:eastAsia="楷体"/>
          <w:sz w:val="32"/>
          <w:szCs w:val="32"/>
          <w:shd w:val="clear" w:color="auto" w:fill="FFFFFF"/>
        </w:rPr>
        <w:t>（二）制定背景</w:t>
      </w:r>
    </w:p>
    <w:p>
      <w:pPr>
        <w:spacing w:line="560" w:lineRule="exact"/>
        <w:ind w:firstLine="640" w:firstLineChars="200"/>
        <w:rPr>
          <w:rFonts w:hint="eastAsia" w:ascii="宋体" w:hAnsi="宋体" w:eastAsia="仿宋_GB2312"/>
          <w:sz w:val="32"/>
          <w:szCs w:val="32"/>
        </w:rPr>
      </w:pPr>
      <w:r>
        <w:rPr>
          <w:rFonts w:ascii="宋体" w:hAnsi="宋体" w:eastAsia="仿宋_GB2312"/>
          <w:sz w:val="32"/>
          <w:szCs w:val="32"/>
        </w:rPr>
        <w:t>《中华人民共和国安全生产法》要求生产经营单位必须“加强安全生产标准化建设”。</w:t>
      </w:r>
      <w:r>
        <w:rPr>
          <w:rFonts w:ascii="宋体" w:hAnsi="宋体" w:eastAsia="仿宋_GB2312"/>
          <w:iCs/>
          <w:sz w:val="32"/>
          <w:szCs w:val="32"/>
          <w:shd w:val="clear" w:color="auto" w:fill="FFFFFF"/>
        </w:rPr>
        <w:t>2024</w:t>
      </w:r>
      <w:r>
        <w:rPr>
          <w:rFonts w:ascii="宋体" w:hAnsi="宋体" w:eastAsia="仿宋_GB2312"/>
          <w:sz w:val="32"/>
          <w:szCs w:val="32"/>
        </w:rPr>
        <w:t>年</w:t>
      </w:r>
      <w:r>
        <w:rPr>
          <w:rFonts w:ascii="宋体" w:hAnsi="宋体" w:eastAsia="仿宋_GB2312"/>
          <w:iCs/>
          <w:sz w:val="32"/>
          <w:szCs w:val="32"/>
          <w:shd w:val="clear" w:color="auto" w:fill="FFFFFF"/>
        </w:rPr>
        <w:t>1</w:t>
      </w:r>
      <w:r>
        <w:rPr>
          <w:rFonts w:ascii="宋体" w:hAnsi="宋体" w:eastAsia="仿宋_GB2312"/>
          <w:sz w:val="32"/>
          <w:szCs w:val="32"/>
        </w:rPr>
        <w:t>月，国务院安全生产委员会印发的《安全生产治本攻坚</w:t>
      </w:r>
      <w:r>
        <w:rPr>
          <w:rFonts w:ascii="宋体" w:hAnsi="宋体" w:eastAsia="仿宋_GB2312"/>
          <w:sz w:val="32"/>
          <w:szCs w:val="32"/>
          <w:shd w:val="clear" w:color="auto" w:fill="FFFFFF"/>
        </w:rPr>
        <w:t>三年</w:t>
      </w:r>
      <w:r>
        <w:rPr>
          <w:rFonts w:ascii="宋体" w:hAnsi="宋体" w:eastAsia="仿宋_GB2312"/>
          <w:sz w:val="32"/>
          <w:szCs w:val="32"/>
        </w:rPr>
        <w:t>行动方案（</w:t>
      </w:r>
      <w:r>
        <w:rPr>
          <w:rFonts w:ascii="宋体" w:hAnsi="宋体" w:eastAsia="仿宋_GB2312"/>
          <w:iCs/>
          <w:sz w:val="32"/>
          <w:szCs w:val="32"/>
          <w:shd w:val="clear" w:color="auto" w:fill="FFFFFF"/>
        </w:rPr>
        <w:t>2024-2026</w:t>
      </w:r>
      <w:r>
        <w:rPr>
          <w:rFonts w:hint="eastAsia" w:ascii="宋体" w:hAnsi="宋体" w:eastAsia="仿宋_GB2312"/>
          <w:iCs/>
          <w:sz w:val="32"/>
          <w:szCs w:val="32"/>
          <w:shd w:val="clear" w:color="auto" w:fill="FFFFFF"/>
        </w:rPr>
        <w:t>年</w:t>
      </w:r>
      <w:r>
        <w:rPr>
          <w:rFonts w:ascii="宋体" w:hAnsi="宋体" w:eastAsia="仿宋_GB2312"/>
          <w:sz w:val="32"/>
          <w:szCs w:val="32"/>
        </w:rPr>
        <w:t>）》，将“开展安全管理体系建设行动”列为安全生产治本攻坚“八大行动”之一，要求生产经营单位“结合国际通用的安全管理体系经验做法，</w:t>
      </w:r>
      <w:r>
        <w:rPr>
          <w:rFonts w:ascii="宋体" w:hAnsi="宋体" w:eastAsia="仿宋_GB2312"/>
          <w:iCs/>
          <w:sz w:val="32"/>
          <w:szCs w:val="32"/>
          <w:shd w:val="clear" w:color="auto" w:fill="FFFFFF"/>
        </w:rPr>
        <w:t>2024</w:t>
      </w:r>
      <w:r>
        <w:rPr>
          <w:rFonts w:ascii="宋体" w:hAnsi="宋体" w:eastAsia="仿宋_GB2312"/>
          <w:sz w:val="32"/>
          <w:szCs w:val="32"/>
        </w:rPr>
        <w:t>年试点建设中国特色的安全生产管理体系标准”。同时，国务院国资委新修订的《中央企业安全生产监督管理办法》，明确要求“中央企业应当建立健全安全生产管理体系，积极学习借鉴和推行应用国内外先进的安全生产管理方式方法等，与企业具体实际和企业优秀文化相结合，实现安全生产管理的系统化、规范化、标准化、科学化、现代化”。</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安全生产标准化体现了“安全</w:t>
      </w:r>
      <w:r>
        <w:rPr>
          <w:rFonts w:hint="eastAsia" w:ascii="宋体" w:hAnsi="宋体" w:eastAsia="仿宋_GB2312" w:cs="仿宋_GB2312"/>
          <w:sz w:val="32"/>
          <w:szCs w:val="32"/>
          <w:shd w:val="clear" w:color="auto" w:fill="FFFFFF"/>
        </w:rPr>
        <w:t>第一、</w:t>
      </w:r>
      <w:r>
        <w:rPr>
          <w:rFonts w:hint="eastAsia" w:ascii="宋体" w:hAnsi="宋体" w:eastAsia="仿宋_GB2312" w:cs="仿宋_GB2312"/>
          <w:sz w:val="32"/>
          <w:szCs w:val="32"/>
        </w:rPr>
        <w:t>预防为主、综合治理”的方针和“以人为本”的科学发展观，强调企业安全生产工作的规范化、科学化、系统化和</w:t>
      </w:r>
      <w:r>
        <w:rPr>
          <w:rFonts w:hint="eastAsia" w:ascii="宋体" w:hAnsi="宋体" w:eastAsia="仿宋_GB2312" w:cs="仿宋_GB2312"/>
          <w:sz w:val="32"/>
          <w:szCs w:val="32"/>
          <w:shd w:val="clear" w:color="auto" w:fill="FFFFFF"/>
          <w:lang w:eastAsia="zh-CN"/>
        </w:rPr>
        <w:t>法治化</w:t>
      </w:r>
      <w:r>
        <w:rPr>
          <w:rFonts w:hint="eastAsia" w:ascii="宋体" w:hAnsi="宋体" w:eastAsia="仿宋_GB2312" w:cs="仿宋_GB2312"/>
          <w:sz w:val="32"/>
          <w:szCs w:val="32"/>
        </w:rPr>
        <w:t>，强化风险管理和过程控制，注重绩效管理和持续改进，符合安全管理的基本规律，代表了现代安全管理的发展方向，是先进安全管理思想与我国传统安全管理方法、企业具体实际的有机结合，有效提高企业安全生产水平，从而推动我国安全生产状况的根本好转。本标准进一步规范了安全生产标准化工作，为企业创建安全生产标准化提供标准依据，促进安全生产标准化工作的良性发展。</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本次标准修订根据《安全生产治本攻坚</w:t>
      </w:r>
      <w:r>
        <w:rPr>
          <w:rFonts w:hint="eastAsia" w:ascii="宋体" w:hAnsi="宋体" w:eastAsia="仿宋_GB2312" w:cs="仿宋_GB2312"/>
          <w:sz w:val="32"/>
          <w:szCs w:val="32"/>
          <w:shd w:val="clear" w:color="auto" w:fill="FFFFFF"/>
        </w:rPr>
        <w:t>三年</w:t>
      </w:r>
      <w:r>
        <w:rPr>
          <w:rFonts w:hint="eastAsia" w:ascii="宋体" w:hAnsi="宋体" w:eastAsia="仿宋_GB2312" w:cs="仿宋_GB2312"/>
          <w:sz w:val="32"/>
          <w:szCs w:val="32"/>
        </w:rPr>
        <w:t>行动方案（</w:t>
      </w:r>
      <w:r>
        <w:rPr>
          <w:rFonts w:hint="eastAsia" w:ascii="宋体" w:hAnsi="宋体" w:eastAsia="仿宋_GB2312"/>
          <w:iCs/>
          <w:sz w:val="32"/>
          <w:szCs w:val="32"/>
          <w:shd w:val="clear" w:color="auto" w:fill="FFFFFF"/>
        </w:rPr>
        <w:t>2024-2026</w:t>
      </w:r>
      <w:r>
        <w:rPr>
          <w:rFonts w:hint="eastAsia" w:ascii="宋体" w:hAnsi="宋体" w:eastAsia="仿宋_GB2312" w:cs="仿宋_GB2312"/>
          <w:sz w:val="32"/>
          <w:szCs w:val="32"/>
        </w:rPr>
        <w:t>年）》“</w:t>
      </w:r>
      <w:r>
        <w:rPr>
          <w:rFonts w:ascii="宋体" w:hAnsi="宋体" w:eastAsia="仿宋_GB2312" w:cs="仿宋_GB2312"/>
          <w:sz w:val="32"/>
          <w:szCs w:val="32"/>
        </w:rPr>
        <w:t>聚焦大中型企业修订完成企业安全生产标准化管理体系基本规范</w:t>
      </w:r>
      <w:r>
        <w:rPr>
          <w:rFonts w:hint="eastAsia" w:ascii="宋体" w:hAnsi="宋体" w:eastAsia="仿宋_GB2312" w:cs="仿宋_GB2312"/>
          <w:sz w:val="32"/>
          <w:szCs w:val="32"/>
        </w:rPr>
        <w:t>”的要求，通过近几年安全生产标准化工作的运行实际，客观地反映企业安全生产工作的管理思路和要求，依据国际先进管理思想和我国安全生产工作实际情况进行编制，符合国家的法律法规和标准规范要求。</w:t>
      </w:r>
    </w:p>
    <w:p>
      <w:pPr>
        <w:spacing w:line="560" w:lineRule="exact"/>
        <w:ind w:firstLine="640" w:firstLineChars="200"/>
        <w:rPr>
          <w:rFonts w:hint="eastAsia" w:ascii="宋体" w:hAnsi="宋体" w:eastAsia="楷体"/>
          <w:sz w:val="32"/>
          <w:szCs w:val="32"/>
          <w:shd w:val="clear" w:color="auto" w:fill="FFFFFF"/>
        </w:rPr>
      </w:pPr>
      <w:r>
        <w:rPr>
          <w:rFonts w:hint="eastAsia" w:ascii="宋体" w:hAnsi="宋体" w:eastAsia="楷体"/>
          <w:sz w:val="32"/>
          <w:szCs w:val="32"/>
          <w:shd w:val="clear" w:color="auto" w:fill="FFFFFF"/>
        </w:rPr>
        <w:t>（三）起草小组人员组成及所在单位</w:t>
      </w:r>
    </w:p>
    <w:p>
      <w:pPr>
        <w:spacing w:line="560" w:lineRule="exact"/>
        <w:ind w:firstLine="640" w:firstLineChars="200"/>
        <w:rPr>
          <w:rFonts w:hint="eastAsia" w:ascii="宋体" w:hAnsi="宋体" w:eastAsia="仿宋_GB2312"/>
          <w:sz w:val="32"/>
          <w:szCs w:val="32"/>
        </w:rPr>
      </w:pPr>
      <w:r>
        <w:rPr>
          <w:rFonts w:ascii="宋体" w:hAnsi="宋体" w:eastAsia="仿宋_GB2312"/>
          <w:sz w:val="32"/>
          <w:szCs w:val="32"/>
        </w:rPr>
        <w:t>根据立项计划，2021年4月成立标准起草工作组，中国安全生产科学研究院牵头负责本文件的修订工作，</w:t>
      </w:r>
      <w:r>
        <w:rPr>
          <w:rFonts w:hint="eastAsia" w:ascii="宋体" w:hAnsi="宋体" w:eastAsia="仿宋_GB2312"/>
          <w:sz w:val="32"/>
          <w:szCs w:val="32"/>
        </w:rPr>
        <w:t>参编单位包含了部分高等院校、大中型企业等方面单位</w:t>
      </w:r>
      <w:r>
        <w:rPr>
          <w:rFonts w:ascii="宋体" w:hAnsi="宋体" w:eastAsia="仿宋_GB2312"/>
          <w:sz w:val="32"/>
          <w:szCs w:val="32"/>
        </w:rPr>
        <w:t>。</w:t>
      </w:r>
    </w:p>
    <w:p>
      <w:pPr>
        <w:spacing w:line="560" w:lineRule="exact"/>
        <w:ind w:firstLine="640" w:firstLineChars="200"/>
        <w:rPr>
          <w:rFonts w:hint="eastAsia" w:ascii="宋体" w:hAnsi="宋体" w:eastAsia="楷体"/>
          <w:sz w:val="32"/>
          <w:szCs w:val="32"/>
          <w:shd w:val="clear" w:color="auto" w:fill="FFFFFF"/>
        </w:rPr>
      </w:pPr>
      <w:r>
        <w:rPr>
          <w:rFonts w:hint="eastAsia" w:ascii="宋体" w:hAnsi="宋体" w:eastAsia="楷体"/>
          <w:sz w:val="32"/>
          <w:szCs w:val="32"/>
          <w:shd w:val="clear" w:color="auto" w:fill="FFFFFF"/>
        </w:rPr>
        <w:t>（四）主要起草过程</w:t>
      </w:r>
    </w:p>
    <w:p>
      <w:pPr>
        <w:spacing w:line="560" w:lineRule="exact"/>
        <w:ind w:firstLine="640" w:firstLineChars="200"/>
        <w:rPr>
          <w:rFonts w:hint="eastAsia" w:ascii="宋体" w:hAnsi="宋体" w:eastAsia="仿宋_GB2312"/>
          <w:iCs/>
          <w:sz w:val="32"/>
          <w:szCs w:val="32"/>
        </w:rPr>
      </w:pPr>
      <w:r>
        <w:rPr>
          <w:rFonts w:hint="eastAsia" w:ascii="宋体" w:hAnsi="宋体" w:eastAsia="仿宋_GB2312"/>
          <w:iCs/>
          <w:sz w:val="32"/>
          <w:szCs w:val="32"/>
        </w:rPr>
        <w:t>1.成立工作组。</w:t>
      </w:r>
      <w:r>
        <w:rPr>
          <w:rFonts w:hint="eastAsia" w:ascii="宋体" w:hAnsi="宋体" w:eastAsia="仿宋_GB2312"/>
          <w:sz w:val="32"/>
          <w:szCs w:val="32"/>
        </w:rPr>
        <w:t>2021</w:t>
      </w:r>
      <w:r>
        <w:rPr>
          <w:rFonts w:hint="eastAsia" w:ascii="宋体" w:hAnsi="宋体" w:eastAsia="仿宋_GB2312"/>
          <w:iCs/>
          <w:sz w:val="32"/>
          <w:szCs w:val="32"/>
        </w:rPr>
        <w:t>年</w:t>
      </w:r>
      <w:r>
        <w:rPr>
          <w:rFonts w:hint="eastAsia" w:ascii="宋体" w:hAnsi="宋体" w:eastAsia="仿宋_GB2312"/>
          <w:sz w:val="32"/>
          <w:szCs w:val="32"/>
        </w:rPr>
        <w:t>4</w:t>
      </w:r>
      <w:r>
        <w:rPr>
          <w:rFonts w:hint="eastAsia" w:ascii="宋体" w:hAnsi="宋体" w:eastAsia="仿宋_GB2312"/>
          <w:iCs/>
          <w:sz w:val="32"/>
          <w:szCs w:val="32"/>
        </w:rPr>
        <w:t>月，成立了标准修订工作组（以下简称“工作组”），向全国安全生产标准化技术委员会提交修订《企业安全生产标准化基本规范》</w:t>
      </w:r>
      <w:r>
        <w:rPr>
          <w:rFonts w:hint="eastAsia" w:ascii="宋体" w:hAnsi="宋体" w:eastAsia="仿宋_GB2312"/>
          <w:sz w:val="32"/>
          <w:szCs w:val="32"/>
        </w:rPr>
        <w:t>（GB/T 33000-2016</w:t>
      </w:r>
      <w:r>
        <w:rPr>
          <w:rFonts w:hint="eastAsia" w:ascii="宋体" w:hAnsi="宋体" w:eastAsia="仿宋_GB2312"/>
          <w:sz w:val="32"/>
          <w:szCs w:val="32"/>
          <w:shd w:val="clear" w:color="auto" w:fill="FFFFFF"/>
        </w:rPr>
        <w:t>）</w:t>
      </w:r>
      <w:r>
        <w:rPr>
          <w:rFonts w:hint="eastAsia" w:ascii="宋体" w:hAnsi="宋体" w:eastAsia="仿宋_GB2312"/>
          <w:iCs/>
          <w:sz w:val="32"/>
          <w:szCs w:val="32"/>
        </w:rPr>
        <w:t>的立项申请。</w:t>
      </w:r>
    </w:p>
    <w:p>
      <w:pPr>
        <w:spacing w:line="560" w:lineRule="exact"/>
        <w:ind w:firstLine="640" w:firstLineChars="200"/>
        <w:rPr>
          <w:rFonts w:hint="eastAsia" w:ascii="宋体" w:hAnsi="宋体" w:eastAsia="仿宋_GB2312"/>
          <w:iCs/>
          <w:sz w:val="32"/>
          <w:szCs w:val="32"/>
        </w:rPr>
      </w:pPr>
      <w:r>
        <w:rPr>
          <w:rFonts w:hint="eastAsia" w:ascii="宋体" w:hAnsi="宋体" w:eastAsia="仿宋_GB2312"/>
          <w:iCs/>
          <w:sz w:val="32"/>
          <w:szCs w:val="32"/>
        </w:rPr>
        <w:t>2.下达立项计划。</w:t>
      </w:r>
      <w:r>
        <w:rPr>
          <w:rFonts w:hint="eastAsia" w:ascii="宋体" w:hAnsi="宋体" w:eastAsia="仿宋_GB2312"/>
          <w:sz w:val="32"/>
          <w:szCs w:val="32"/>
        </w:rPr>
        <w:t>2022</w:t>
      </w:r>
      <w:r>
        <w:rPr>
          <w:rFonts w:hint="eastAsia" w:ascii="宋体" w:hAnsi="宋体" w:eastAsia="仿宋_GB2312"/>
          <w:iCs/>
          <w:sz w:val="32"/>
          <w:szCs w:val="32"/>
        </w:rPr>
        <w:t>年</w:t>
      </w:r>
      <w:r>
        <w:rPr>
          <w:rFonts w:hint="eastAsia" w:ascii="宋体" w:hAnsi="宋体" w:eastAsia="仿宋_GB2312"/>
          <w:sz w:val="32"/>
          <w:szCs w:val="32"/>
        </w:rPr>
        <w:t>7</w:t>
      </w:r>
      <w:r>
        <w:rPr>
          <w:rFonts w:hint="eastAsia" w:ascii="宋体" w:hAnsi="宋体" w:eastAsia="仿宋_GB2312"/>
          <w:iCs/>
          <w:sz w:val="32"/>
          <w:szCs w:val="32"/>
        </w:rPr>
        <w:t>月，国家标准化管理委员会下达标准制修订计划，同月，工作组召开了标准编写工作启动会，确定了制定原则，明确分工，并按照要求制定了工作计划。</w:t>
      </w:r>
    </w:p>
    <w:p>
      <w:pPr>
        <w:spacing w:line="560" w:lineRule="exact"/>
        <w:ind w:firstLine="640" w:firstLineChars="200"/>
        <w:rPr>
          <w:rFonts w:hint="eastAsia" w:ascii="宋体" w:hAnsi="宋体" w:eastAsia="仿宋_GB2312"/>
          <w:iCs/>
          <w:sz w:val="32"/>
          <w:szCs w:val="32"/>
        </w:rPr>
      </w:pPr>
      <w:r>
        <w:rPr>
          <w:rFonts w:hint="eastAsia" w:ascii="宋体" w:hAnsi="宋体" w:eastAsia="仿宋_GB2312"/>
          <w:iCs/>
          <w:sz w:val="32"/>
          <w:szCs w:val="32"/>
        </w:rPr>
        <w:t>3.收集资料及调研</w:t>
      </w:r>
      <w:r>
        <w:rPr>
          <w:rFonts w:hint="eastAsia" w:ascii="宋体" w:hAnsi="宋体" w:eastAsia="仿宋_GB2312"/>
          <w:sz w:val="32"/>
          <w:szCs w:val="32"/>
        </w:rPr>
        <w:t>。2022</w:t>
      </w:r>
      <w:r>
        <w:rPr>
          <w:rFonts w:hint="eastAsia" w:ascii="宋体" w:hAnsi="宋体" w:eastAsia="仿宋_GB2312"/>
          <w:iCs/>
          <w:sz w:val="32"/>
          <w:szCs w:val="32"/>
        </w:rPr>
        <w:t>年</w:t>
      </w:r>
      <w:r>
        <w:rPr>
          <w:rFonts w:hint="eastAsia" w:ascii="宋体" w:hAnsi="宋体" w:eastAsia="仿宋_GB2312"/>
          <w:sz w:val="32"/>
          <w:szCs w:val="32"/>
        </w:rPr>
        <w:t>7</w:t>
      </w:r>
      <w:r>
        <w:rPr>
          <w:rFonts w:hint="eastAsia" w:ascii="宋体" w:hAnsi="宋体" w:eastAsia="仿宋_GB2312"/>
          <w:iCs/>
          <w:sz w:val="32"/>
          <w:szCs w:val="32"/>
        </w:rPr>
        <w:t>月至</w:t>
      </w:r>
      <w:r>
        <w:rPr>
          <w:rFonts w:hint="eastAsia" w:ascii="宋体" w:hAnsi="宋体" w:eastAsia="仿宋_GB2312"/>
          <w:sz w:val="32"/>
          <w:szCs w:val="32"/>
        </w:rPr>
        <w:t>12</w:t>
      </w:r>
      <w:r>
        <w:rPr>
          <w:rFonts w:hint="eastAsia" w:ascii="宋体" w:hAnsi="宋体" w:eastAsia="仿宋_GB2312"/>
          <w:iCs/>
          <w:sz w:val="32"/>
          <w:szCs w:val="32"/>
        </w:rPr>
        <w:t>月，工作组</w:t>
      </w:r>
      <w:r>
        <w:rPr>
          <w:rFonts w:hint="eastAsia" w:ascii="宋体" w:hAnsi="宋体" w:eastAsia="仿宋_GB2312"/>
          <w:sz w:val="32"/>
          <w:szCs w:val="32"/>
        </w:rPr>
        <w:t>系统收集、整理、分析安全生产相关法律法规、标准规范，安全生产管理体系建设相关标准，以及大中型企业安全生产相关制度文件、典型经验等各类资料共计1000余项。</w:t>
      </w:r>
      <w:r>
        <w:rPr>
          <w:rFonts w:hint="eastAsia" w:ascii="宋体" w:hAnsi="宋体" w:eastAsia="仿宋_GB2312"/>
          <w:iCs/>
          <w:sz w:val="32"/>
          <w:szCs w:val="32"/>
        </w:rPr>
        <w:t>对安全生产标准化评审组织单位、评审单位、安全生产标准化创建企业开展了线上线下调研。</w:t>
      </w:r>
    </w:p>
    <w:p>
      <w:pPr>
        <w:spacing w:line="560" w:lineRule="exact"/>
        <w:ind w:firstLine="640" w:firstLineChars="200"/>
        <w:rPr>
          <w:rFonts w:hint="eastAsia" w:ascii="宋体" w:hAnsi="宋体" w:eastAsia="仿宋_GB2312"/>
          <w:sz w:val="32"/>
          <w:szCs w:val="32"/>
        </w:rPr>
      </w:pPr>
      <w:r>
        <w:rPr>
          <w:rFonts w:hint="eastAsia" w:ascii="宋体" w:hAnsi="宋体" w:eastAsia="仿宋_GB2312"/>
          <w:iCs/>
          <w:sz w:val="32"/>
          <w:szCs w:val="32"/>
        </w:rPr>
        <w:t>4.理论研究。</w:t>
      </w:r>
      <w:r>
        <w:rPr>
          <w:rFonts w:hint="eastAsia" w:ascii="宋体" w:hAnsi="宋体" w:eastAsia="仿宋_GB2312"/>
          <w:sz w:val="32"/>
          <w:szCs w:val="32"/>
        </w:rPr>
        <w:t>2023年1月至6月，工作组比较分析国内外安全生产管理体系标准现状，剖析典型企业安全生产管理体系建设实例，确定安全生产管理体系的结构框架、要素内容和功能特征；基于现行法律法规、标准规范，对标准涉及的相关名词术语进行梳理和界定，研究提出本标准的基础理论与方法。</w:t>
      </w:r>
    </w:p>
    <w:p>
      <w:pPr>
        <w:spacing w:line="560" w:lineRule="exact"/>
        <w:ind w:firstLine="640" w:firstLineChars="200"/>
        <w:rPr>
          <w:rFonts w:hint="eastAsia" w:ascii="宋体" w:hAnsi="宋体" w:eastAsia="仿宋_GB2312"/>
          <w:sz w:val="32"/>
          <w:szCs w:val="32"/>
        </w:rPr>
      </w:pPr>
      <w:r>
        <w:rPr>
          <w:rFonts w:hint="eastAsia" w:ascii="宋体" w:hAnsi="宋体" w:eastAsia="仿宋_GB2312"/>
          <w:iCs/>
          <w:sz w:val="32"/>
          <w:szCs w:val="32"/>
        </w:rPr>
        <w:t>5.框架确定。</w:t>
      </w:r>
      <w:r>
        <w:rPr>
          <w:rFonts w:hint="eastAsia" w:ascii="宋体" w:hAnsi="宋体" w:eastAsia="仿宋_GB2312"/>
          <w:sz w:val="32"/>
          <w:szCs w:val="32"/>
        </w:rPr>
        <w:t>2023年7月至10月，借鉴国内外通用安全生产管理体系的构建思路、基本框架和涵盖要素，基于国家能源集团安全生产管理体系项目研究成果，构建标准框架。11月底研究确定标准框架，12月正式向部执法工贸局汇报，并根据意见对框架进行修改完善。</w:t>
      </w:r>
    </w:p>
    <w:p>
      <w:pPr>
        <w:spacing w:line="560" w:lineRule="exact"/>
        <w:ind w:firstLine="640" w:firstLineChars="200"/>
        <w:rPr>
          <w:rFonts w:hint="eastAsia" w:ascii="宋体" w:hAnsi="宋体" w:eastAsia="仿宋_GB2312"/>
          <w:sz w:val="32"/>
          <w:szCs w:val="32"/>
        </w:rPr>
      </w:pPr>
      <w:r>
        <w:rPr>
          <w:rFonts w:hint="eastAsia" w:ascii="宋体" w:hAnsi="宋体" w:eastAsia="仿宋_GB2312"/>
          <w:iCs/>
          <w:sz w:val="32"/>
          <w:szCs w:val="32"/>
        </w:rPr>
        <w:t>6.征求意见稿的编制。</w:t>
      </w:r>
      <w:r>
        <w:rPr>
          <w:rFonts w:hint="eastAsia" w:ascii="宋体" w:hAnsi="宋体" w:eastAsia="仿宋_GB2312"/>
          <w:sz w:val="32"/>
          <w:szCs w:val="32"/>
        </w:rPr>
        <w:t>2024年1月至2024年12月，工作组各起草单位按照职责分工，开展了标准的修订工作，形成了标准草案，并对标准草案开展多次内部研讨并组织专家会商，形成了标准征求意见初稿。在征求了部有关司局意见的基础上，组织内部专家进行4轮次集中审改，修改完善形成了标准征求意见稿，对原标准要求进行凝练提升，根据安全管理现实需求补充相关内容，强化了系统思维。</w:t>
      </w:r>
    </w:p>
    <w:p>
      <w:pPr>
        <w:widowControl/>
        <w:numPr>
          <w:ilvl w:val="0"/>
          <w:numId w:val="49"/>
        </w:numPr>
        <w:spacing w:line="560" w:lineRule="exact"/>
        <w:ind w:firstLine="640" w:firstLineChars="200"/>
        <w:outlineLvl w:val="0"/>
        <w:rPr>
          <w:rFonts w:hint="eastAsia" w:ascii="宋体" w:hAnsi="宋体" w:eastAsia="黑体"/>
          <w:sz w:val="32"/>
          <w:szCs w:val="32"/>
        </w:rPr>
      </w:pPr>
      <w:r>
        <w:rPr>
          <w:rFonts w:hint="eastAsia" w:ascii="宋体" w:hAnsi="宋体" w:eastAsia="黑体"/>
          <w:sz w:val="32"/>
          <w:szCs w:val="32"/>
        </w:rPr>
        <w:t>标准编制原则、主要技术内容及其确定依据</w:t>
      </w:r>
    </w:p>
    <w:p>
      <w:pPr>
        <w:numPr>
          <w:ilvl w:val="0"/>
          <w:numId w:val="50"/>
        </w:numPr>
        <w:spacing w:line="560" w:lineRule="exact"/>
        <w:ind w:firstLine="640" w:firstLineChars="200"/>
        <w:rPr>
          <w:rFonts w:hint="eastAsia" w:ascii="宋体" w:hAnsi="宋体" w:eastAsia="楷体"/>
          <w:sz w:val="32"/>
          <w:szCs w:val="32"/>
          <w:shd w:val="clear" w:color="auto" w:fill="FFFFFF"/>
        </w:rPr>
      </w:pPr>
      <w:r>
        <w:rPr>
          <w:rFonts w:hint="eastAsia" w:ascii="宋体" w:hAnsi="宋体" w:eastAsia="楷体"/>
          <w:sz w:val="32"/>
          <w:szCs w:val="32"/>
          <w:shd w:val="clear" w:color="auto" w:fill="FFFFFF"/>
        </w:rPr>
        <w:t>标准编制原则</w:t>
      </w:r>
    </w:p>
    <w:p>
      <w:pPr>
        <w:pStyle w:val="55"/>
        <w:spacing w:line="560" w:lineRule="exact"/>
        <w:ind w:firstLine="640"/>
        <w:rPr>
          <w:rFonts w:hint="eastAsia" w:hAnsi="宋体"/>
        </w:rPr>
      </w:pPr>
      <w:r>
        <w:rPr>
          <w:rFonts w:hint="eastAsia" w:hAnsi="宋体" w:eastAsia="仿宋_GB2312"/>
          <w:kern w:val="2"/>
          <w:sz w:val="32"/>
          <w:szCs w:val="32"/>
        </w:rPr>
        <w:t>本文件以习近平总书记关于安全生</w:t>
      </w:r>
      <w:r>
        <w:rPr>
          <w:rFonts w:hint="eastAsia" w:hAnsi="宋体" w:eastAsia="仿宋_GB2312"/>
          <w:kern w:val="2"/>
          <w:sz w:val="32"/>
          <w:szCs w:val="32"/>
          <w:shd w:val="clear" w:color="auto" w:fill="FFFFFF"/>
        </w:rPr>
        <w:t>产</w:t>
      </w:r>
      <w:r>
        <w:rPr>
          <w:rFonts w:hint="eastAsia" w:hAnsi="宋体" w:eastAsia="仿宋_GB2312"/>
          <w:kern w:val="2"/>
          <w:sz w:val="32"/>
          <w:szCs w:val="32"/>
        </w:rPr>
        <w:t>重要论述和重要指示批示精神为根本遵循，贯彻安全生产相关政策法规，在深入挖掘和提炼我国安全生产管理实践经验的基础上，充分借鉴国内外安全生产管理体系构建理论方法和实践经验，建立具有中国特色的安全生产标准化管理体系。</w:t>
      </w:r>
    </w:p>
    <w:p>
      <w:pPr>
        <w:spacing w:line="560" w:lineRule="exact"/>
        <w:ind w:firstLine="642" w:firstLineChars="200"/>
        <w:rPr>
          <w:rFonts w:hint="eastAsia" w:ascii="宋体" w:hAnsi="宋体" w:eastAsia="仿宋_GB2312"/>
          <w:sz w:val="32"/>
          <w:szCs w:val="32"/>
        </w:rPr>
      </w:pPr>
      <w:r>
        <w:rPr>
          <w:rFonts w:hint="eastAsia" w:ascii="宋体" w:hAnsi="宋体" w:eastAsia="仿宋_GB2312"/>
          <w:b/>
          <w:sz w:val="32"/>
          <w:szCs w:val="32"/>
        </w:rPr>
        <w:t>1.</w:t>
      </w:r>
      <w:r>
        <w:rPr>
          <w:rFonts w:ascii="宋体" w:hAnsi="宋体" w:eastAsia="仿宋_GB2312"/>
          <w:b/>
          <w:sz w:val="32"/>
          <w:szCs w:val="32"/>
        </w:rPr>
        <w:t>坚持合法合规</w:t>
      </w:r>
      <w:r>
        <w:rPr>
          <w:rFonts w:ascii="宋体" w:hAnsi="宋体" w:eastAsia="仿宋_GB2312"/>
          <w:sz w:val="32"/>
          <w:szCs w:val="32"/>
        </w:rPr>
        <w:t>。标准要素与内容确定以现行安全生产相关法律法规规章、国家和行业标准为根本遵循，确保有法可依、有章可循、科学合理。</w:t>
      </w:r>
    </w:p>
    <w:p>
      <w:pPr>
        <w:spacing w:line="560" w:lineRule="exact"/>
        <w:ind w:firstLine="642" w:firstLineChars="200"/>
        <w:rPr>
          <w:rFonts w:hint="eastAsia" w:ascii="宋体" w:hAnsi="宋体" w:eastAsia="仿宋_GB2312"/>
          <w:sz w:val="32"/>
          <w:szCs w:val="32"/>
        </w:rPr>
      </w:pPr>
      <w:r>
        <w:rPr>
          <w:rFonts w:hint="eastAsia" w:ascii="宋体" w:hAnsi="宋体" w:eastAsia="仿宋_GB2312"/>
          <w:b/>
          <w:sz w:val="32"/>
          <w:szCs w:val="32"/>
        </w:rPr>
        <w:t>2.</w:t>
      </w:r>
      <w:r>
        <w:rPr>
          <w:rFonts w:ascii="宋体" w:hAnsi="宋体" w:eastAsia="仿宋_GB2312"/>
          <w:b/>
          <w:sz w:val="32"/>
          <w:szCs w:val="32"/>
        </w:rPr>
        <w:t>坚持集成融合</w:t>
      </w:r>
      <w:r>
        <w:rPr>
          <w:rFonts w:ascii="宋体" w:hAnsi="宋体" w:eastAsia="仿宋_GB2312"/>
          <w:sz w:val="32"/>
          <w:szCs w:val="32"/>
        </w:rPr>
        <w:t>。既集成融合国内外安全生产管理体系构建思路和构成要素，也综合考虑中国特色的安全生产管理理念和方法、法规政策的新要求新变化，确保</w:t>
      </w:r>
      <w:r>
        <w:rPr>
          <w:rFonts w:hint="eastAsia" w:ascii="宋体" w:hAnsi="宋体" w:eastAsia="仿宋_GB2312"/>
          <w:sz w:val="32"/>
          <w:szCs w:val="32"/>
          <w:shd w:val="clear" w:color="auto" w:fill="FFFFFF"/>
        </w:rPr>
        <w:t>融会贯通</w:t>
      </w:r>
      <w:r>
        <w:rPr>
          <w:rFonts w:ascii="宋体" w:hAnsi="宋体" w:eastAsia="仿宋_GB2312"/>
          <w:sz w:val="32"/>
          <w:szCs w:val="32"/>
        </w:rPr>
        <w:t>、灵活适用。</w:t>
      </w:r>
    </w:p>
    <w:p>
      <w:pPr>
        <w:spacing w:line="560" w:lineRule="exact"/>
        <w:ind w:firstLine="642" w:firstLineChars="200"/>
        <w:rPr>
          <w:rFonts w:hint="eastAsia" w:ascii="宋体" w:hAnsi="宋体" w:eastAsia="仿宋_GB2312"/>
          <w:sz w:val="32"/>
          <w:szCs w:val="32"/>
        </w:rPr>
      </w:pPr>
      <w:r>
        <w:rPr>
          <w:rFonts w:hint="eastAsia" w:ascii="宋体" w:hAnsi="宋体" w:eastAsia="仿宋_GB2312"/>
          <w:b/>
          <w:sz w:val="32"/>
          <w:szCs w:val="32"/>
        </w:rPr>
        <w:t>3.</w:t>
      </w:r>
      <w:r>
        <w:rPr>
          <w:rFonts w:ascii="宋体" w:hAnsi="宋体" w:eastAsia="仿宋_GB2312"/>
          <w:b/>
          <w:sz w:val="32"/>
          <w:szCs w:val="32"/>
        </w:rPr>
        <w:t>坚持传承创新</w:t>
      </w:r>
      <w:r>
        <w:rPr>
          <w:rFonts w:ascii="宋体" w:hAnsi="宋体" w:eastAsia="仿宋_GB2312"/>
          <w:sz w:val="32"/>
          <w:szCs w:val="32"/>
        </w:rPr>
        <w:t>。在充分固化、传承</w:t>
      </w:r>
      <w:r>
        <w:rPr>
          <w:rFonts w:hint="eastAsia" w:ascii="宋体" w:hAnsi="宋体" w:eastAsia="仿宋_GB2312"/>
          <w:sz w:val="32"/>
          <w:szCs w:val="32"/>
        </w:rPr>
        <w:t>原标准要素</w:t>
      </w:r>
      <w:r>
        <w:rPr>
          <w:rFonts w:ascii="宋体" w:hAnsi="宋体" w:eastAsia="仿宋_GB2312"/>
          <w:sz w:val="32"/>
          <w:szCs w:val="32"/>
        </w:rPr>
        <w:t>的基础上，分析吸取过往短板不足，结合未来安全生产发展趋势，聚焦标准顶层设计，突出问题难点治理，推动安全管理向</w:t>
      </w:r>
      <w:r>
        <w:rPr>
          <w:rFonts w:hint="eastAsia" w:ascii="宋体" w:hAnsi="宋体" w:eastAsia="仿宋_GB2312"/>
          <w:sz w:val="32"/>
          <w:szCs w:val="32"/>
        </w:rPr>
        <w:t>系统化、</w:t>
      </w:r>
      <w:r>
        <w:rPr>
          <w:rFonts w:ascii="宋体" w:hAnsi="宋体" w:eastAsia="仿宋_GB2312"/>
          <w:sz w:val="32"/>
          <w:szCs w:val="32"/>
        </w:rPr>
        <w:t>科学化、规范化纵深发展。</w:t>
      </w:r>
    </w:p>
    <w:p>
      <w:pPr>
        <w:spacing w:line="560" w:lineRule="exact"/>
        <w:ind w:firstLine="642" w:firstLineChars="200"/>
        <w:rPr>
          <w:rFonts w:hint="eastAsia" w:ascii="宋体" w:hAnsi="宋体" w:eastAsia="楷体"/>
          <w:sz w:val="32"/>
          <w:szCs w:val="32"/>
          <w:shd w:val="clear" w:color="auto" w:fill="FFFFFF"/>
        </w:rPr>
      </w:pPr>
      <w:r>
        <w:rPr>
          <w:rFonts w:hint="eastAsia" w:ascii="宋体" w:hAnsi="宋体" w:eastAsia="仿宋_GB2312"/>
          <w:b/>
          <w:sz w:val="32"/>
          <w:szCs w:val="32"/>
        </w:rPr>
        <w:t>4.</w:t>
      </w:r>
      <w:r>
        <w:rPr>
          <w:rFonts w:ascii="宋体" w:hAnsi="宋体" w:eastAsia="仿宋_GB2312"/>
          <w:b/>
          <w:sz w:val="32"/>
          <w:szCs w:val="32"/>
        </w:rPr>
        <w:t>坚持实用落地</w:t>
      </w:r>
      <w:r>
        <w:rPr>
          <w:rFonts w:ascii="宋体" w:hAnsi="宋体" w:eastAsia="仿宋_GB2312"/>
          <w:sz w:val="32"/>
          <w:szCs w:val="32"/>
        </w:rPr>
        <w:t>。基于“好用、实用、管用”的原则，紧密贴合现实迫切需求，凸显实用性导向，将体系要求去繁就简、简化实用，统筹提出体系建设的基本要求与路径方法</w:t>
      </w:r>
      <w:r>
        <w:rPr>
          <w:rFonts w:hint="eastAsia" w:ascii="宋体" w:hAnsi="宋体" w:eastAsia="仿宋_GB2312"/>
          <w:sz w:val="32"/>
          <w:szCs w:val="32"/>
        </w:rPr>
        <w:t>。</w:t>
      </w:r>
    </w:p>
    <w:p>
      <w:pPr>
        <w:spacing w:line="560" w:lineRule="exact"/>
        <w:ind w:firstLine="640" w:firstLineChars="200"/>
        <w:rPr>
          <w:rFonts w:hint="eastAsia" w:ascii="宋体" w:hAnsi="宋体" w:eastAsia="楷体"/>
          <w:sz w:val="32"/>
          <w:szCs w:val="32"/>
          <w:shd w:val="clear" w:color="auto" w:fill="FFFFFF"/>
        </w:rPr>
      </w:pPr>
      <w:r>
        <w:rPr>
          <w:rFonts w:hint="eastAsia" w:ascii="宋体" w:hAnsi="宋体" w:eastAsia="楷体"/>
          <w:sz w:val="32"/>
          <w:szCs w:val="32"/>
          <w:shd w:val="clear" w:color="auto" w:fill="FFFFFF"/>
        </w:rPr>
        <w:t>（二）标准主要技术内容</w:t>
      </w:r>
    </w:p>
    <w:p>
      <w:pPr>
        <w:pStyle w:val="55"/>
        <w:spacing w:line="560" w:lineRule="exact"/>
        <w:ind w:firstLine="640"/>
        <w:rPr>
          <w:rFonts w:hint="eastAsia" w:hAnsi="宋体" w:eastAsia="仿宋_GB2312"/>
          <w:kern w:val="2"/>
          <w:sz w:val="32"/>
          <w:szCs w:val="32"/>
        </w:rPr>
      </w:pPr>
      <w:r>
        <w:rPr>
          <w:rFonts w:hint="eastAsia" w:hAnsi="宋体" w:eastAsia="仿宋_GB2312"/>
          <w:kern w:val="2"/>
          <w:sz w:val="32"/>
          <w:szCs w:val="32"/>
        </w:rPr>
        <w:t>本文件旨在为我国各行业领域大中型企业安全生产工作提供可资借鉴的、系统化的基本管理框架，引导企业以安全生产标准化管理体系建设为抓手，健全完善和规范统一安全生产工作，推动安全生产主体责任落实，持续提高安全生产绩效，以高水平安全保障企业高质量发展。</w:t>
      </w:r>
    </w:p>
    <w:p>
      <w:pPr>
        <w:pStyle w:val="55"/>
        <w:spacing w:line="560" w:lineRule="exact"/>
        <w:ind w:firstLine="643"/>
        <w:rPr>
          <w:rFonts w:hint="eastAsia" w:hAnsi="宋体" w:eastAsia="仿宋_GB2312"/>
          <w:b/>
          <w:bCs/>
          <w:kern w:val="2"/>
          <w:sz w:val="32"/>
          <w:szCs w:val="32"/>
        </w:rPr>
      </w:pPr>
      <w:r>
        <w:rPr>
          <w:rFonts w:hint="eastAsia" w:hAnsi="宋体" w:eastAsia="仿宋_GB2312"/>
          <w:b/>
          <w:bCs/>
          <w:kern w:val="2"/>
          <w:sz w:val="32"/>
          <w:szCs w:val="32"/>
        </w:rPr>
        <w:t>1.安全理论基础</w:t>
      </w:r>
    </w:p>
    <w:p>
      <w:pPr>
        <w:pStyle w:val="55"/>
        <w:spacing w:line="560" w:lineRule="exact"/>
        <w:ind w:firstLine="640"/>
        <w:rPr>
          <w:rFonts w:hint="eastAsia" w:hAnsi="宋体" w:eastAsia="仿宋_GB2312"/>
          <w:kern w:val="2"/>
          <w:sz w:val="32"/>
          <w:szCs w:val="32"/>
        </w:rPr>
      </w:pPr>
      <w:r>
        <w:rPr>
          <w:rFonts w:hint="eastAsia" w:hAnsi="宋体" w:eastAsia="仿宋_GB2312"/>
          <w:kern w:val="2"/>
          <w:sz w:val="32"/>
          <w:szCs w:val="32"/>
        </w:rPr>
        <w:t>本文件遵循事故孕育发生发展演化的基本规律，聚焦</w:t>
      </w:r>
      <w:r>
        <w:rPr>
          <w:rFonts w:hint="eastAsia" w:hAnsi="宋体" w:eastAsia="仿宋_GB2312"/>
          <w:kern w:val="2"/>
          <w:sz w:val="32"/>
          <w:szCs w:val="32"/>
          <w:shd w:val="clear" w:color="auto" w:fill="FFFFFF"/>
        </w:rPr>
        <w:t>防范化解安全风险</w:t>
      </w:r>
      <w:r>
        <w:rPr>
          <w:rFonts w:hint="eastAsia" w:hAnsi="宋体" w:eastAsia="仿宋_GB2312"/>
          <w:kern w:val="2"/>
          <w:sz w:val="32"/>
          <w:szCs w:val="32"/>
        </w:rPr>
        <w:t>，构建了“安全风险管控”“隐患排查治理”“应急处置与救援”三道防线（如图1所示），把安全风险管控挺在隐患前面，把隐患排查治理挺在事故前面，扎实构建应急处置与救援最后一道防线，切实推动企业安全生产管理模式向事前预防转型。</w:t>
      </w:r>
    </w:p>
    <w:p>
      <w:pPr>
        <w:pStyle w:val="148"/>
        <w:numPr>
          <w:ilvl w:val="0"/>
          <w:numId w:val="0"/>
        </w:numPr>
        <w:spacing w:before="156" w:after="156"/>
        <w:rPr>
          <w:rFonts w:hint="eastAsia" w:ascii="宋体" w:hAnsi="宋体"/>
        </w:rPr>
      </w:pPr>
      <w:r>
        <w:rPr>
          <w:rFonts w:ascii="宋体" w:hAnsi="宋体"/>
        </w:rPr>
        <w:drawing>
          <wp:inline distT="0" distB="0" distL="114300" distR="114300">
            <wp:extent cx="5501005" cy="1473200"/>
            <wp:effectExtent l="0" t="0" r="635" b="5080"/>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21"/>
                    <a:stretch>
                      <a:fillRect/>
                    </a:stretch>
                  </pic:blipFill>
                  <pic:spPr>
                    <a:xfrm>
                      <a:off x="0" y="0"/>
                      <a:ext cx="5501005" cy="1473200"/>
                    </a:xfrm>
                    <a:prstGeom prst="rect">
                      <a:avLst/>
                    </a:prstGeom>
                    <a:noFill/>
                    <a:ln>
                      <a:noFill/>
                    </a:ln>
                  </pic:spPr>
                </pic:pic>
              </a:graphicData>
            </a:graphic>
          </wp:inline>
        </w:drawing>
      </w:r>
    </w:p>
    <w:p>
      <w:pPr>
        <w:pStyle w:val="148"/>
        <w:spacing w:before="156" w:after="156"/>
        <w:rPr>
          <w:rFonts w:hint="eastAsia" w:ascii="宋体" w:hAnsi="宋体"/>
        </w:rPr>
      </w:pPr>
      <w:r>
        <w:rPr>
          <w:rFonts w:ascii="宋体" w:hAnsi="宋体"/>
        </w:rPr>
        <w:t>安全风险</w:t>
      </w:r>
      <w:r>
        <w:rPr>
          <w:rFonts w:hint="eastAsia" w:ascii="宋体" w:hAnsi="宋体"/>
        </w:rPr>
        <w:t>系统防控“三道防线”示意图</w:t>
      </w:r>
    </w:p>
    <w:p>
      <w:pPr>
        <w:pStyle w:val="55"/>
        <w:spacing w:line="560" w:lineRule="exact"/>
        <w:ind w:firstLine="643"/>
        <w:rPr>
          <w:rFonts w:hint="eastAsia" w:hAnsi="宋体" w:eastAsia="仿宋_GB2312"/>
          <w:b/>
          <w:bCs/>
          <w:kern w:val="2"/>
          <w:sz w:val="32"/>
          <w:szCs w:val="32"/>
        </w:rPr>
      </w:pPr>
      <w:r>
        <w:rPr>
          <w:rFonts w:hint="eastAsia" w:hAnsi="宋体" w:eastAsia="仿宋_GB2312"/>
          <w:b/>
          <w:bCs/>
          <w:kern w:val="2"/>
          <w:sz w:val="32"/>
          <w:szCs w:val="32"/>
        </w:rPr>
        <w:t>2.运行模式</w:t>
      </w:r>
    </w:p>
    <w:p>
      <w:pPr>
        <w:pStyle w:val="55"/>
        <w:spacing w:line="560" w:lineRule="exact"/>
        <w:ind w:firstLine="640"/>
        <w:rPr>
          <w:rFonts w:hint="eastAsia" w:hAnsi="宋体" w:eastAsia="仿宋_GB2312"/>
          <w:kern w:val="2"/>
          <w:sz w:val="32"/>
          <w:szCs w:val="32"/>
        </w:rPr>
      </w:pPr>
      <w:r>
        <w:rPr>
          <w:rFonts w:hint="eastAsia" w:hAnsi="宋体" w:eastAsia="仿宋_GB2312"/>
          <w:kern w:val="2"/>
          <w:sz w:val="32"/>
          <w:szCs w:val="32"/>
        </w:rPr>
        <w:t>本文件采用LS-PDCA（领导</w:t>
      </w:r>
      <w:r>
        <w:rPr>
          <w:rFonts w:hint="eastAsia" w:hAnsi="宋体" w:eastAsia="仿宋_GB2312"/>
          <w:kern w:val="2"/>
          <w:sz w:val="32"/>
          <w:szCs w:val="32"/>
          <w:shd w:val="clear" w:color="auto" w:fill="FFFFFF"/>
        </w:rPr>
        <w:t>-</w:t>
      </w:r>
      <w:r>
        <w:rPr>
          <w:rFonts w:hint="eastAsia" w:hAnsi="宋体" w:eastAsia="仿宋_GB2312"/>
          <w:kern w:val="2"/>
          <w:sz w:val="32"/>
          <w:szCs w:val="32"/>
        </w:rPr>
        <w:t>支持-策划-实施-检查-改进）的运行模式（如图2所示），强调充分发挥各级领导的关键作用（L），强化全过程全方位的支持（S），丰富和发展PDCA循环管理过程及其内涵，促进核心要素之间的相互衔接、有机融合，引领企业安全生产标准化管理体系现代化。</w:t>
      </w:r>
    </w:p>
    <w:p>
      <w:pPr>
        <w:pStyle w:val="55"/>
        <w:spacing w:line="560" w:lineRule="exact"/>
        <w:ind w:firstLine="640"/>
        <w:rPr>
          <w:rFonts w:hint="eastAsia" w:hAnsi="宋体" w:eastAsia="仿宋_GB2312"/>
          <w:kern w:val="2"/>
          <w:sz w:val="32"/>
          <w:szCs w:val="32"/>
        </w:rPr>
      </w:pPr>
      <w:r>
        <w:rPr>
          <w:rFonts w:hint="eastAsia" w:hAnsi="宋体" w:eastAsia="仿宋_GB2312"/>
          <w:kern w:val="2"/>
          <w:sz w:val="32"/>
          <w:szCs w:val="32"/>
        </w:rPr>
        <w:t>——领导L（Lead）：为建立、实施、保持和持续改进安全生产标准化管理体系提供强有力的领导力，发挥表率作用，树立良好的榜样，引领全员参与安全生产管理活动。</w:t>
      </w:r>
    </w:p>
    <w:p>
      <w:pPr>
        <w:pStyle w:val="55"/>
        <w:spacing w:line="560" w:lineRule="exact"/>
        <w:ind w:firstLine="640"/>
        <w:rPr>
          <w:rFonts w:hint="eastAsia" w:hAnsi="宋体" w:eastAsia="仿宋_GB2312"/>
          <w:kern w:val="2"/>
          <w:sz w:val="32"/>
          <w:szCs w:val="32"/>
        </w:rPr>
      </w:pPr>
      <w:r>
        <w:rPr>
          <w:rFonts w:hint="eastAsia" w:hAnsi="宋体" w:eastAsia="仿宋_GB2312"/>
          <w:kern w:val="2"/>
          <w:sz w:val="32"/>
          <w:szCs w:val="32"/>
        </w:rPr>
        <w:t>——支持S（Support）：为建立、实施、保持和持续改进安全生产标准化管理体系提供全过程、全方位的支撑和资源。</w:t>
      </w:r>
    </w:p>
    <w:p>
      <w:pPr>
        <w:pStyle w:val="55"/>
        <w:spacing w:line="560" w:lineRule="exact"/>
        <w:ind w:firstLine="640"/>
        <w:rPr>
          <w:rFonts w:hint="eastAsia" w:hAnsi="宋体" w:eastAsia="仿宋_GB2312"/>
          <w:kern w:val="2"/>
          <w:sz w:val="32"/>
          <w:szCs w:val="32"/>
        </w:rPr>
      </w:pPr>
      <w:r>
        <w:rPr>
          <w:rFonts w:hint="eastAsia" w:hAnsi="宋体" w:eastAsia="仿宋_GB2312"/>
          <w:kern w:val="2"/>
          <w:sz w:val="32"/>
          <w:szCs w:val="32"/>
        </w:rPr>
        <w:t>——策划P（Plan）：建立安全生产理念和目标，明确安全生产工作的依据和过程，以实现安全生产标准化管理体系所期望的结果。</w:t>
      </w:r>
    </w:p>
    <w:p>
      <w:pPr>
        <w:pStyle w:val="55"/>
        <w:spacing w:line="560" w:lineRule="exact"/>
        <w:ind w:firstLine="640"/>
        <w:rPr>
          <w:rFonts w:hint="eastAsia" w:hAnsi="宋体" w:eastAsia="仿宋_GB2312"/>
          <w:kern w:val="2"/>
          <w:sz w:val="32"/>
          <w:szCs w:val="32"/>
        </w:rPr>
      </w:pPr>
      <w:r>
        <w:rPr>
          <w:rFonts w:hint="eastAsia" w:hAnsi="宋体" w:eastAsia="仿宋_GB2312"/>
          <w:kern w:val="2"/>
          <w:sz w:val="32"/>
          <w:szCs w:val="32"/>
        </w:rPr>
        <w:t>——实施D（Do）：落实规定的要求和过程。</w:t>
      </w:r>
    </w:p>
    <w:p>
      <w:pPr>
        <w:pStyle w:val="55"/>
        <w:spacing w:line="560" w:lineRule="exact"/>
        <w:ind w:firstLine="640"/>
        <w:rPr>
          <w:rFonts w:hint="eastAsia" w:hAnsi="宋体" w:eastAsia="仿宋_GB2312"/>
          <w:kern w:val="2"/>
          <w:sz w:val="32"/>
          <w:szCs w:val="32"/>
        </w:rPr>
      </w:pPr>
      <w:r>
        <w:rPr>
          <w:rFonts w:hint="eastAsia" w:hAnsi="宋体" w:eastAsia="仿宋_GB2312"/>
          <w:kern w:val="2"/>
          <w:sz w:val="32"/>
          <w:szCs w:val="32"/>
        </w:rPr>
        <w:t>——检查C（Check）：根据安全生产理念、目标、法律法规、标准规范和其他要求，对安全生产管理过程进行检查评价，并报告结果。</w:t>
      </w:r>
    </w:p>
    <w:p>
      <w:pPr>
        <w:pStyle w:val="55"/>
        <w:spacing w:line="560" w:lineRule="exact"/>
        <w:ind w:firstLine="640"/>
        <w:rPr>
          <w:rFonts w:hint="eastAsia" w:hAnsi="宋体" w:eastAsia="仿宋_GB2312"/>
          <w:kern w:val="2"/>
          <w:sz w:val="32"/>
          <w:szCs w:val="32"/>
        </w:rPr>
      </w:pPr>
      <w:r>
        <w:rPr>
          <w:rFonts w:hint="eastAsia" w:hAnsi="宋体" w:eastAsia="仿宋_GB2312"/>
          <w:kern w:val="2"/>
          <w:sz w:val="32"/>
          <w:szCs w:val="32"/>
        </w:rPr>
        <w:t>——改进A（Act）：采取措施持续改进安全生产绩效，以循序渐进的方式提升安全生产水平。</w:t>
      </w:r>
    </w:p>
    <w:p>
      <w:pPr>
        <w:spacing w:line="240" w:lineRule="auto"/>
        <w:jc w:val="center"/>
        <w:rPr>
          <w:rFonts w:hint="eastAsia" w:ascii="宋体" w:hAnsi="宋体" w:eastAsia="仿宋_GB2312" w:cs="仿宋_GB2312"/>
          <w:color w:val="000000"/>
          <w:sz w:val="32"/>
          <w:szCs w:val="32"/>
          <w:lang w:bidi="ar"/>
        </w:rPr>
      </w:pPr>
      <w:r>
        <w:rPr>
          <w:rFonts w:hint="eastAsia" w:ascii="宋体" w:hAnsi="宋体" w:eastAsia="仿宋_GB2312" w:cs="仿宋_GB2312"/>
          <w:color w:val="000000"/>
          <w:sz w:val="32"/>
          <w:szCs w:val="32"/>
          <w:lang w:bidi="ar"/>
        </w:rPr>
        <w:drawing>
          <wp:inline distT="0" distB="0" distL="114300" distR="114300">
            <wp:extent cx="2155825" cy="2151380"/>
            <wp:effectExtent l="0" t="0" r="8255" b="12700"/>
            <wp:docPr id="8" name="图片 2"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2" descr="图片1"/>
                    <pic:cNvPicPr>
                      <a:picLocks noChangeAspect="1"/>
                    </pic:cNvPicPr>
                  </pic:nvPicPr>
                  <pic:blipFill>
                    <a:blip r:embed="rId20"/>
                    <a:stretch>
                      <a:fillRect/>
                    </a:stretch>
                  </pic:blipFill>
                  <pic:spPr>
                    <a:xfrm>
                      <a:off x="0" y="0"/>
                      <a:ext cx="2155825" cy="2151380"/>
                    </a:xfrm>
                    <a:prstGeom prst="rect">
                      <a:avLst/>
                    </a:prstGeom>
                    <a:noFill/>
                    <a:ln>
                      <a:noFill/>
                    </a:ln>
                  </pic:spPr>
                </pic:pic>
              </a:graphicData>
            </a:graphic>
          </wp:inline>
        </w:drawing>
      </w:r>
    </w:p>
    <w:p>
      <w:pPr>
        <w:pStyle w:val="148"/>
        <w:spacing w:before="156" w:after="156"/>
        <w:rPr>
          <w:rFonts w:hint="eastAsia" w:ascii="宋体" w:hAnsi="宋体"/>
        </w:rPr>
      </w:pPr>
      <w:r>
        <w:rPr>
          <w:rFonts w:hint="eastAsia" w:ascii="宋体" w:hAnsi="宋体"/>
        </w:rPr>
        <w:t>安全生产标准化管理体系LS-PDCA运行模式</w:t>
      </w:r>
    </w:p>
    <w:p>
      <w:pPr>
        <w:pStyle w:val="55"/>
        <w:spacing w:line="560" w:lineRule="exact"/>
        <w:ind w:firstLine="643"/>
        <w:rPr>
          <w:rFonts w:hint="eastAsia" w:hAnsi="宋体" w:eastAsia="仿宋_GB2312"/>
          <w:b/>
          <w:bCs/>
          <w:kern w:val="2"/>
          <w:sz w:val="32"/>
          <w:szCs w:val="32"/>
        </w:rPr>
      </w:pPr>
      <w:r>
        <w:rPr>
          <w:rFonts w:hint="eastAsia" w:hAnsi="宋体" w:eastAsia="仿宋_GB2312"/>
          <w:b/>
          <w:bCs/>
          <w:kern w:val="2"/>
          <w:sz w:val="32"/>
          <w:szCs w:val="32"/>
        </w:rPr>
        <w:t>3.主要技术内容</w:t>
      </w:r>
    </w:p>
    <w:p>
      <w:pPr>
        <w:spacing w:line="560" w:lineRule="exact"/>
        <w:ind w:firstLine="640" w:firstLineChars="200"/>
        <w:rPr>
          <w:rFonts w:hint="eastAsia" w:ascii="宋体" w:hAnsi="宋体" w:eastAsia="仿宋_GB2312"/>
          <w:i/>
          <w:iCs/>
          <w:color w:val="FF0000"/>
          <w:sz w:val="32"/>
          <w:szCs w:val="32"/>
          <w:highlight w:val="yellow"/>
          <w:shd w:val="clear" w:color="auto" w:fill="FFFFFF"/>
        </w:rPr>
      </w:pPr>
      <w:r>
        <w:rPr>
          <w:rFonts w:hint="eastAsia" w:ascii="宋体" w:hAnsi="宋体" w:eastAsia="仿宋_GB2312"/>
          <w:sz w:val="32"/>
          <w:szCs w:val="32"/>
        </w:rPr>
        <w:t>标准规范框架设计基于以下考量，设置了一级要素</w:t>
      </w:r>
      <w:r>
        <w:rPr>
          <w:rFonts w:ascii="宋体" w:hAnsi="宋体" w:eastAsia="仿宋_GB2312"/>
          <w:sz w:val="32"/>
          <w:szCs w:val="32"/>
        </w:rPr>
        <w:t>1</w:t>
      </w:r>
      <w:r>
        <w:rPr>
          <w:rFonts w:hint="eastAsia" w:ascii="宋体" w:hAnsi="宋体" w:eastAsia="仿宋_GB2312"/>
          <w:sz w:val="32"/>
          <w:szCs w:val="32"/>
        </w:rPr>
        <w:t>0个、二级要素40个、三级要素31个。</w:t>
      </w:r>
    </w:p>
    <w:p>
      <w:pPr>
        <w:spacing w:line="560" w:lineRule="exact"/>
        <w:ind w:firstLine="642" w:firstLineChars="200"/>
        <w:rPr>
          <w:rFonts w:hint="eastAsia" w:ascii="宋体" w:hAnsi="宋体" w:eastAsia="仿宋_GB2312"/>
          <w:b/>
          <w:bCs/>
          <w:sz w:val="32"/>
          <w:szCs w:val="32"/>
        </w:rPr>
      </w:pPr>
      <w:r>
        <w:rPr>
          <w:rFonts w:hint="eastAsia" w:ascii="宋体" w:hAnsi="宋体" w:eastAsia="仿宋_GB2312"/>
          <w:b/>
          <w:bCs/>
          <w:sz w:val="32"/>
          <w:szCs w:val="32"/>
          <w:shd w:val="clear" w:color="auto" w:fill="FFFFFF"/>
        </w:rPr>
        <w:t>（1）</w:t>
      </w:r>
      <w:r>
        <w:rPr>
          <w:rFonts w:hint="eastAsia" w:ascii="宋体" w:hAnsi="宋体" w:eastAsia="仿宋_GB2312"/>
          <w:b/>
          <w:bCs/>
          <w:sz w:val="32"/>
          <w:szCs w:val="32"/>
        </w:rPr>
        <w:t>领导作用</w:t>
      </w:r>
    </w:p>
    <w:p>
      <w:pPr>
        <w:spacing w:line="560" w:lineRule="exact"/>
        <w:ind w:firstLine="642" w:firstLineChars="200"/>
        <w:rPr>
          <w:rFonts w:hint="eastAsia" w:ascii="宋体" w:hAnsi="宋体" w:eastAsia="仿宋_GB2312"/>
          <w:b/>
          <w:bCs/>
          <w:sz w:val="32"/>
          <w:szCs w:val="32"/>
        </w:rPr>
      </w:pPr>
      <w:r>
        <w:rPr>
          <w:rFonts w:hint="eastAsia" w:ascii="宋体" w:hAnsi="宋体" w:eastAsia="仿宋_GB2312"/>
          <w:b/>
          <w:bCs/>
          <w:sz w:val="32"/>
          <w:szCs w:val="32"/>
        </w:rPr>
        <w:t>要素内容：</w:t>
      </w:r>
      <w:r>
        <w:rPr>
          <w:rFonts w:hint="eastAsia" w:ascii="宋体" w:hAnsi="宋体" w:eastAsia="仿宋_GB2312"/>
          <w:sz w:val="32"/>
          <w:szCs w:val="32"/>
        </w:rPr>
        <w:t>包括安全领导力、安全承诺、安全决策和安全履职评价4个二级要素。</w:t>
      </w:r>
    </w:p>
    <w:p>
      <w:pPr>
        <w:spacing w:line="560" w:lineRule="exact"/>
        <w:ind w:firstLine="642" w:firstLineChars="200"/>
        <w:rPr>
          <w:rFonts w:hint="eastAsia" w:ascii="宋体" w:hAnsi="宋体" w:eastAsia="仿宋_GB2312"/>
          <w:sz w:val="32"/>
          <w:szCs w:val="32"/>
        </w:rPr>
      </w:pPr>
      <w:r>
        <w:rPr>
          <w:rFonts w:hint="eastAsia" w:ascii="宋体" w:hAnsi="宋体" w:eastAsia="仿宋_GB2312"/>
          <w:b/>
          <w:bCs/>
          <w:sz w:val="32"/>
          <w:szCs w:val="32"/>
        </w:rPr>
        <w:t>要素变化：</w:t>
      </w:r>
      <w:r>
        <w:rPr>
          <w:rFonts w:hint="eastAsia" w:ascii="宋体" w:hAnsi="宋体" w:eastAsia="仿宋_GB2312"/>
          <w:sz w:val="32"/>
          <w:szCs w:val="32"/>
        </w:rPr>
        <w:t>新增“领导作用”一级要素，及所包含的“安全领导力</w:t>
      </w:r>
      <w:r>
        <w:rPr>
          <w:rFonts w:hint="eastAsia" w:ascii="宋体" w:hAnsi="宋体" w:eastAsia="仿宋_GB2312"/>
          <w:sz w:val="32"/>
          <w:szCs w:val="32"/>
          <w:shd w:val="clear" w:color="auto" w:fill="FFFFFF"/>
        </w:rPr>
        <w:t>”“</w:t>
      </w:r>
      <w:r>
        <w:rPr>
          <w:rFonts w:hint="eastAsia" w:ascii="宋体" w:hAnsi="宋体" w:eastAsia="仿宋_GB2312"/>
          <w:sz w:val="32"/>
          <w:szCs w:val="32"/>
        </w:rPr>
        <w:t>安全承诺</w:t>
      </w:r>
      <w:r>
        <w:rPr>
          <w:rFonts w:hint="eastAsia" w:ascii="宋体" w:hAnsi="宋体" w:eastAsia="仿宋_GB2312"/>
          <w:sz w:val="32"/>
          <w:szCs w:val="32"/>
          <w:shd w:val="clear" w:color="auto" w:fill="FFFFFF"/>
        </w:rPr>
        <w:t>”“</w:t>
      </w:r>
      <w:r>
        <w:rPr>
          <w:rFonts w:hint="eastAsia" w:ascii="宋体" w:hAnsi="宋体" w:eastAsia="仿宋_GB2312"/>
          <w:sz w:val="32"/>
          <w:szCs w:val="32"/>
        </w:rPr>
        <w:t>安全决策</w:t>
      </w:r>
      <w:r>
        <w:rPr>
          <w:rFonts w:hint="eastAsia" w:ascii="宋体" w:hAnsi="宋体" w:eastAsia="仿宋_GB2312"/>
          <w:sz w:val="32"/>
          <w:szCs w:val="32"/>
          <w:shd w:val="clear" w:color="auto" w:fill="FFFFFF"/>
        </w:rPr>
        <w:t>”“</w:t>
      </w:r>
      <w:r>
        <w:rPr>
          <w:rFonts w:hint="eastAsia" w:ascii="宋体" w:hAnsi="宋体" w:eastAsia="仿宋_GB2312"/>
          <w:sz w:val="32"/>
          <w:szCs w:val="32"/>
        </w:rPr>
        <w:t>安全履职评价”4个二级要素。</w:t>
      </w:r>
    </w:p>
    <w:p>
      <w:pPr>
        <w:spacing w:line="560" w:lineRule="exact"/>
        <w:ind w:firstLine="642" w:firstLineChars="200"/>
        <w:rPr>
          <w:rFonts w:hint="eastAsia" w:ascii="宋体" w:hAnsi="宋体" w:eastAsia="仿宋_GB2312"/>
          <w:b/>
          <w:bCs/>
          <w:sz w:val="32"/>
          <w:szCs w:val="32"/>
        </w:rPr>
      </w:pPr>
      <w:r>
        <w:rPr>
          <w:rFonts w:hint="eastAsia" w:ascii="宋体" w:hAnsi="宋体" w:eastAsia="仿宋_GB2312"/>
          <w:b/>
          <w:bCs/>
          <w:sz w:val="32"/>
          <w:szCs w:val="32"/>
        </w:rPr>
        <w:t>要素特点：一是</w:t>
      </w:r>
      <w:r>
        <w:rPr>
          <w:rFonts w:hint="eastAsia" w:ascii="宋体" w:hAnsi="宋体" w:eastAsia="仿宋_GB2312"/>
          <w:sz w:val="32"/>
          <w:szCs w:val="32"/>
        </w:rPr>
        <w:t>突出强调了企业各级领导要发挥领导作用，通过各级领导的示范引领，激发从业人员安全防范的内生动力，使其自觉规范安全行为，推动安全管理规章制度的落地执行，以提升企业的安全管理水平。</w:t>
      </w:r>
      <w:r>
        <w:rPr>
          <w:rFonts w:hint="eastAsia" w:ascii="宋体" w:hAnsi="宋体" w:eastAsia="仿宋_GB2312"/>
          <w:b/>
          <w:bCs/>
          <w:sz w:val="32"/>
          <w:szCs w:val="32"/>
        </w:rPr>
        <w:t>二是</w:t>
      </w:r>
      <w:r>
        <w:rPr>
          <w:rFonts w:hint="eastAsia" w:ascii="宋体" w:hAnsi="宋体" w:eastAsia="仿宋_GB2312"/>
          <w:sz w:val="32"/>
          <w:szCs w:val="32"/>
        </w:rPr>
        <w:t>强调企业各级领导应深入现场一线，了解现场情况，解决安全生产实际问题。</w:t>
      </w:r>
      <w:r>
        <w:rPr>
          <w:rFonts w:hint="eastAsia" w:ascii="宋体" w:hAnsi="宋体" w:eastAsia="仿宋_GB2312"/>
          <w:b/>
          <w:bCs/>
          <w:sz w:val="32"/>
          <w:szCs w:val="32"/>
        </w:rPr>
        <w:t>三是</w:t>
      </w:r>
      <w:r>
        <w:rPr>
          <w:rFonts w:hint="eastAsia" w:ascii="宋体" w:hAnsi="宋体" w:eastAsia="仿宋_GB2312"/>
          <w:sz w:val="32"/>
          <w:szCs w:val="32"/>
        </w:rPr>
        <w:t>要求企业应当基于合规义务和风险管控要求，注重运用科学方法和手段进行分析、评估和预测，提高决策的科学性、准确性和有效性。</w:t>
      </w:r>
      <w:r>
        <w:rPr>
          <w:rFonts w:hint="eastAsia" w:ascii="宋体" w:hAnsi="宋体" w:eastAsia="仿宋_GB2312"/>
          <w:b/>
          <w:bCs/>
          <w:sz w:val="32"/>
          <w:szCs w:val="32"/>
        </w:rPr>
        <w:t>四是</w:t>
      </w:r>
      <w:r>
        <w:rPr>
          <w:rFonts w:hint="eastAsia" w:ascii="宋体" w:hAnsi="宋体" w:eastAsia="仿宋_GB2312"/>
          <w:sz w:val="32"/>
          <w:szCs w:val="32"/>
        </w:rPr>
        <w:t>规定将企业主要负责人和其他负责人安全履职评价结果纳入绩效考核，促使领导干部在岗位上对安全生产履职尽责。</w:t>
      </w:r>
    </w:p>
    <w:p>
      <w:pPr>
        <w:spacing w:line="560" w:lineRule="exact"/>
        <w:ind w:firstLine="642" w:firstLineChars="200"/>
        <w:rPr>
          <w:rFonts w:hint="eastAsia" w:ascii="宋体" w:hAnsi="宋体" w:eastAsia="仿宋_GB2312"/>
          <w:b/>
          <w:bCs/>
          <w:sz w:val="32"/>
          <w:szCs w:val="32"/>
        </w:rPr>
      </w:pPr>
      <w:r>
        <w:rPr>
          <w:rFonts w:hint="eastAsia" w:ascii="宋体" w:hAnsi="宋体" w:eastAsia="仿宋_GB2312"/>
          <w:b/>
          <w:bCs/>
          <w:sz w:val="32"/>
          <w:szCs w:val="32"/>
          <w:shd w:val="clear" w:color="auto" w:fill="FFFFFF"/>
        </w:rPr>
        <w:t>（2）</w:t>
      </w:r>
      <w:r>
        <w:rPr>
          <w:rFonts w:hint="eastAsia" w:ascii="宋体" w:hAnsi="宋体" w:eastAsia="仿宋_GB2312"/>
          <w:b/>
          <w:bCs/>
          <w:sz w:val="32"/>
          <w:szCs w:val="32"/>
        </w:rPr>
        <w:t>基础保障</w:t>
      </w:r>
    </w:p>
    <w:p>
      <w:pPr>
        <w:spacing w:line="560" w:lineRule="exact"/>
        <w:ind w:firstLine="642" w:firstLineChars="200"/>
        <w:rPr>
          <w:rFonts w:hint="eastAsia" w:ascii="宋体" w:hAnsi="宋体" w:eastAsia="仿宋_GB2312"/>
          <w:b/>
          <w:bCs/>
          <w:sz w:val="32"/>
          <w:szCs w:val="32"/>
        </w:rPr>
      </w:pPr>
      <w:r>
        <w:rPr>
          <w:rFonts w:hint="eastAsia" w:ascii="宋体" w:hAnsi="宋体" w:eastAsia="仿宋_GB2312"/>
          <w:b/>
          <w:bCs/>
          <w:sz w:val="32"/>
          <w:szCs w:val="32"/>
        </w:rPr>
        <w:t>要素内容：</w:t>
      </w:r>
      <w:r>
        <w:rPr>
          <w:rFonts w:hint="eastAsia" w:ascii="宋体" w:hAnsi="宋体" w:eastAsia="仿宋_GB2312"/>
          <w:sz w:val="32"/>
          <w:szCs w:val="32"/>
        </w:rPr>
        <w:t>包括组织保障、责任保障、制度保障、资金保障、科技保障和数智保障6个二级要素。</w:t>
      </w:r>
    </w:p>
    <w:p>
      <w:pPr>
        <w:spacing w:line="560" w:lineRule="exact"/>
        <w:ind w:firstLine="642" w:firstLineChars="200"/>
        <w:rPr>
          <w:rFonts w:hint="eastAsia" w:ascii="宋体" w:hAnsi="宋体" w:eastAsia="仿宋_GB2312"/>
          <w:sz w:val="32"/>
          <w:szCs w:val="32"/>
        </w:rPr>
      </w:pPr>
      <w:r>
        <w:rPr>
          <w:rFonts w:hint="eastAsia" w:ascii="宋体" w:hAnsi="宋体" w:eastAsia="仿宋_GB2312"/>
          <w:b/>
          <w:bCs/>
          <w:sz w:val="32"/>
          <w:szCs w:val="32"/>
        </w:rPr>
        <w:t>要素变化：</w:t>
      </w:r>
      <w:r>
        <w:rPr>
          <w:rFonts w:hint="eastAsia" w:ascii="宋体" w:hAnsi="宋体" w:eastAsia="仿宋_GB2312"/>
          <w:sz w:val="32"/>
          <w:szCs w:val="32"/>
        </w:rPr>
        <w:t>新增“基础保障”一级要素、“科技保障”二级要素。</w:t>
      </w:r>
    </w:p>
    <w:p>
      <w:pPr>
        <w:spacing w:line="560" w:lineRule="exact"/>
        <w:ind w:firstLine="642" w:firstLineChars="200"/>
        <w:rPr>
          <w:rFonts w:hint="eastAsia" w:ascii="宋体" w:hAnsi="宋体" w:eastAsia="仿宋_GB2312"/>
          <w:b/>
          <w:bCs/>
          <w:sz w:val="32"/>
          <w:szCs w:val="32"/>
        </w:rPr>
      </w:pPr>
      <w:r>
        <w:rPr>
          <w:rFonts w:hint="eastAsia" w:ascii="宋体" w:hAnsi="宋体" w:eastAsia="仿宋_GB2312"/>
          <w:b/>
          <w:bCs/>
          <w:sz w:val="32"/>
          <w:szCs w:val="32"/>
        </w:rPr>
        <w:t>要素特点：一是</w:t>
      </w:r>
      <w:r>
        <w:rPr>
          <w:rFonts w:hint="eastAsia" w:ascii="宋体" w:hAnsi="宋体" w:eastAsia="仿宋_GB2312"/>
          <w:bCs/>
          <w:sz w:val="32"/>
          <w:szCs w:val="32"/>
        </w:rPr>
        <w:t>总结凝练了企业做好安全生产工作的保障要求，包括组织保障、责任保障、制度保障、资金保障、科技保障、数智保障六个方面；</w:t>
      </w:r>
      <w:r>
        <w:rPr>
          <w:rFonts w:hint="eastAsia" w:ascii="宋体" w:hAnsi="宋体" w:eastAsia="仿宋_GB2312"/>
          <w:b/>
          <w:bCs/>
          <w:sz w:val="32"/>
          <w:szCs w:val="32"/>
        </w:rPr>
        <w:t>二是</w:t>
      </w:r>
      <w:r>
        <w:rPr>
          <w:rFonts w:hint="eastAsia" w:ascii="宋体" w:hAnsi="宋体" w:eastAsia="仿宋_GB2312"/>
          <w:sz w:val="32"/>
          <w:szCs w:val="32"/>
        </w:rPr>
        <w:t>将“研究审议安全生产合规评价报告”纳入安委会职责</w:t>
      </w:r>
      <w:r>
        <w:rPr>
          <w:rFonts w:hint="eastAsia" w:ascii="宋体" w:hAnsi="宋体" w:eastAsia="仿宋_GB2312"/>
          <w:sz w:val="32"/>
          <w:szCs w:val="32"/>
          <w:shd w:val="clear" w:color="auto" w:fill="FFFFFF"/>
        </w:rPr>
        <w:t>，</w:t>
      </w:r>
      <w:r>
        <w:rPr>
          <w:rFonts w:ascii="宋体" w:hAnsi="宋体"/>
        </w:rPr>
        <w:t xml:space="preserve"> </w:t>
      </w:r>
      <w:r>
        <w:rPr>
          <w:rFonts w:ascii="宋体" w:hAnsi="宋体" w:eastAsia="仿宋_GB2312"/>
          <w:sz w:val="32"/>
          <w:szCs w:val="32"/>
        </w:rPr>
        <w:t>以促使安委会更加关注企业的安全生产状况，加强对安全生产工作的监督和指导</w:t>
      </w:r>
      <w:r>
        <w:rPr>
          <w:rFonts w:hint="eastAsia" w:ascii="宋体" w:hAnsi="宋体" w:eastAsia="仿宋_GB2312"/>
          <w:sz w:val="32"/>
          <w:szCs w:val="32"/>
        </w:rPr>
        <w:t>；</w:t>
      </w:r>
      <w:r>
        <w:rPr>
          <w:rFonts w:hint="eastAsia" w:ascii="宋体" w:hAnsi="宋体" w:eastAsia="仿宋_GB2312"/>
          <w:b/>
          <w:bCs/>
          <w:sz w:val="32"/>
          <w:szCs w:val="32"/>
        </w:rPr>
        <w:t>三是</w:t>
      </w:r>
      <w:r>
        <w:rPr>
          <w:rFonts w:hint="eastAsia" w:ascii="宋体" w:hAnsi="宋体" w:eastAsia="仿宋_GB2312"/>
          <w:sz w:val="32"/>
          <w:szCs w:val="32"/>
        </w:rPr>
        <w:t>将</w:t>
      </w:r>
      <w:bookmarkStart w:id="455" w:name="OLE_LINK2"/>
      <w:bookmarkStart w:id="456" w:name="OLE_LINK3"/>
      <w:r>
        <w:rPr>
          <w:rFonts w:hint="eastAsia" w:ascii="宋体" w:hAnsi="宋体" w:eastAsia="仿宋_GB2312"/>
          <w:sz w:val="32"/>
          <w:szCs w:val="32"/>
        </w:rPr>
        <w:t>“</w:t>
      </w:r>
      <w:r>
        <w:rPr>
          <w:rFonts w:hint="eastAsia" w:ascii="宋体" w:hAnsi="宋体" w:eastAsia="仿宋_GB2312"/>
          <w:sz w:val="32"/>
          <w:szCs w:val="32"/>
          <w:shd w:val="clear" w:fill="FFFFFF"/>
        </w:rPr>
        <w:t>管行业必须管安全，管业务必须管安全，管生产经营必须管安全</w:t>
      </w:r>
      <w:r>
        <w:rPr>
          <w:rFonts w:hint="eastAsia" w:ascii="宋体" w:hAnsi="宋体" w:eastAsia="仿宋_GB2312"/>
          <w:sz w:val="32"/>
          <w:szCs w:val="32"/>
        </w:rPr>
        <w:t>”</w:t>
      </w:r>
      <w:bookmarkEnd w:id="455"/>
      <w:bookmarkEnd w:id="456"/>
      <w:r>
        <w:rPr>
          <w:rFonts w:hint="eastAsia" w:ascii="宋体" w:hAnsi="宋体" w:eastAsia="仿宋_GB2312"/>
          <w:sz w:val="32"/>
          <w:szCs w:val="32"/>
        </w:rPr>
        <w:t>和“横向到边，纵向到底”</w:t>
      </w:r>
      <w:r>
        <w:rPr>
          <w:rFonts w:hint="eastAsia" w:ascii="宋体" w:hAnsi="宋体" w:eastAsia="仿宋_GB2312"/>
          <w:sz w:val="32"/>
          <w:szCs w:val="32"/>
          <w:shd w:val="clear" w:color="auto" w:fill="FFFFFF"/>
        </w:rPr>
        <w:t>纳入到</w:t>
      </w:r>
      <w:r>
        <w:rPr>
          <w:rFonts w:hint="eastAsia" w:ascii="宋体" w:hAnsi="宋体" w:eastAsia="仿宋_GB2312"/>
          <w:sz w:val="32"/>
          <w:szCs w:val="32"/>
        </w:rPr>
        <w:t>企业安全生产标准化建设中，强化了业务部门和班组在安全生产工作中的职责；</w:t>
      </w:r>
      <w:r>
        <w:rPr>
          <w:rFonts w:hint="eastAsia" w:ascii="宋体" w:hAnsi="宋体" w:eastAsia="仿宋_GB2312"/>
          <w:b/>
          <w:bCs/>
          <w:sz w:val="32"/>
          <w:szCs w:val="32"/>
        </w:rPr>
        <w:t>四是</w:t>
      </w:r>
      <w:r>
        <w:rPr>
          <w:rFonts w:hint="eastAsia" w:ascii="宋体" w:hAnsi="宋体" w:eastAsia="仿宋_GB2312"/>
          <w:sz w:val="32"/>
          <w:szCs w:val="32"/>
        </w:rPr>
        <w:t>提出的“科技保障</w:t>
      </w:r>
      <w:r>
        <w:rPr>
          <w:rFonts w:hint="eastAsia" w:ascii="宋体" w:hAnsi="宋体" w:eastAsia="仿宋_GB2312"/>
          <w:sz w:val="32"/>
          <w:szCs w:val="32"/>
          <w:shd w:val="clear" w:color="auto" w:fill="FFFFFF"/>
        </w:rPr>
        <w:t>”“</w:t>
      </w:r>
      <w:r>
        <w:rPr>
          <w:rFonts w:hint="eastAsia" w:ascii="宋体" w:hAnsi="宋体" w:eastAsia="仿宋_GB2312"/>
          <w:sz w:val="32"/>
          <w:szCs w:val="32"/>
        </w:rPr>
        <w:t>数智保障”要求，旨在要求企业紧追当前科技发展趋势，加大科技创新投入，利用先进技术解决安全生产中的技术难题，持续推动安全生产治理模式向事前预防转型。</w:t>
      </w:r>
    </w:p>
    <w:p>
      <w:pPr>
        <w:spacing w:line="560" w:lineRule="exact"/>
        <w:ind w:firstLine="642" w:firstLineChars="200"/>
        <w:rPr>
          <w:rFonts w:hint="eastAsia" w:ascii="宋体" w:hAnsi="宋体" w:eastAsia="仿宋_GB2312"/>
          <w:b/>
          <w:bCs/>
          <w:sz w:val="32"/>
          <w:szCs w:val="32"/>
        </w:rPr>
      </w:pPr>
      <w:r>
        <w:rPr>
          <w:rFonts w:hint="eastAsia" w:ascii="宋体" w:hAnsi="宋体" w:eastAsia="仿宋_GB2312"/>
          <w:b/>
          <w:bCs/>
          <w:sz w:val="32"/>
          <w:szCs w:val="32"/>
          <w:shd w:val="clear" w:color="auto" w:fill="FFFFFF"/>
        </w:rPr>
        <w:t>（3）</w:t>
      </w:r>
      <w:r>
        <w:rPr>
          <w:rFonts w:hint="eastAsia" w:ascii="宋体" w:hAnsi="宋体" w:eastAsia="仿宋_GB2312"/>
          <w:b/>
          <w:bCs/>
          <w:sz w:val="32"/>
          <w:szCs w:val="32"/>
        </w:rPr>
        <w:t>总体策划</w:t>
      </w:r>
    </w:p>
    <w:p>
      <w:pPr>
        <w:spacing w:line="560" w:lineRule="exact"/>
        <w:ind w:firstLine="642" w:firstLineChars="200"/>
        <w:rPr>
          <w:rFonts w:hint="eastAsia" w:ascii="宋体" w:hAnsi="宋体" w:eastAsia="仿宋_GB2312"/>
          <w:sz w:val="32"/>
          <w:szCs w:val="32"/>
        </w:rPr>
      </w:pPr>
      <w:r>
        <w:rPr>
          <w:rFonts w:hint="eastAsia" w:ascii="宋体" w:hAnsi="宋体" w:eastAsia="仿宋_GB2312"/>
          <w:b/>
          <w:bCs/>
          <w:sz w:val="32"/>
          <w:szCs w:val="32"/>
        </w:rPr>
        <w:t>要素内容：</w:t>
      </w:r>
      <w:r>
        <w:rPr>
          <w:rFonts w:hint="eastAsia" w:ascii="宋体" w:hAnsi="宋体" w:eastAsia="仿宋_GB2312"/>
          <w:sz w:val="32"/>
          <w:szCs w:val="32"/>
        </w:rPr>
        <w:t>包括理念、目标、合规管理、全员参与、信息沟通5个二级要素。</w:t>
      </w:r>
    </w:p>
    <w:p>
      <w:pPr>
        <w:spacing w:line="560" w:lineRule="exact"/>
        <w:ind w:firstLine="642" w:firstLineChars="200"/>
        <w:rPr>
          <w:rFonts w:hint="eastAsia" w:ascii="宋体" w:hAnsi="宋体" w:eastAsia="仿宋_GB2312"/>
          <w:sz w:val="32"/>
          <w:szCs w:val="32"/>
        </w:rPr>
      </w:pPr>
      <w:r>
        <w:rPr>
          <w:rFonts w:hint="eastAsia" w:ascii="宋体" w:hAnsi="宋体" w:eastAsia="仿宋_GB2312"/>
          <w:b/>
          <w:bCs/>
          <w:sz w:val="32"/>
          <w:szCs w:val="32"/>
        </w:rPr>
        <w:t>要素变化：</w:t>
      </w:r>
      <w:r>
        <w:rPr>
          <w:rFonts w:hint="eastAsia" w:ascii="宋体" w:hAnsi="宋体" w:eastAsia="仿宋_GB2312"/>
          <w:sz w:val="32"/>
          <w:szCs w:val="32"/>
        </w:rPr>
        <w:t>新增“理念</w:t>
      </w:r>
      <w:r>
        <w:rPr>
          <w:rFonts w:hint="eastAsia" w:ascii="宋体" w:hAnsi="宋体" w:eastAsia="仿宋_GB2312"/>
          <w:sz w:val="32"/>
          <w:szCs w:val="32"/>
          <w:shd w:val="clear" w:color="auto" w:fill="FFFFFF"/>
        </w:rPr>
        <w:t>”“</w:t>
      </w:r>
      <w:r>
        <w:rPr>
          <w:rFonts w:hint="eastAsia" w:ascii="宋体" w:hAnsi="宋体" w:eastAsia="仿宋_GB2312"/>
          <w:sz w:val="32"/>
          <w:szCs w:val="32"/>
        </w:rPr>
        <w:t>合规管理</w:t>
      </w:r>
      <w:r>
        <w:rPr>
          <w:rFonts w:hint="eastAsia" w:ascii="宋体" w:hAnsi="宋体" w:eastAsia="仿宋_GB2312"/>
          <w:sz w:val="32"/>
          <w:szCs w:val="32"/>
          <w:shd w:val="clear" w:color="auto" w:fill="FFFFFF"/>
        </w:rPr>
        <w:t>”“</w:t>
      </w:r>
      <w:r>
        <w:rPr>
          <w:rFonts w:hint="eastAsia" w:ascii="宋体" w:hAnsi="宋体" w:eastAsia="仿宋_GB2312"/>
          <w:sz w:val="32"/>
          <w:szCs w:val="32"/>
        </w:rPr>
        <w:t>信息沟通”二级要素。</w:t>
      </w:r>
    </w:p>
    <w:p>
      <w:pPr>
        <w:spacing w:line="560" w:lineRule="exact"/>
        <w:ind w:firstLine="642" w:firstLineChars="200"/>
        <w:rPr>
          <w:rFonts w:hint="eastAsia" w:ascii="宋体" w:hAnsi="宋体" w:eastAsia="仿宋_GB2312"/>
          <w:sz w:val="32"/>
          <w:szCs w:val="32"/>
        </w:rPr>
      </w:pPr>
      <w:r>
        <w:rPr>
          <w:rFonts w:hint="eastAsia" w:ascii="宋体" w:hAnsi="宋体" w:eastAsia="仿宋_GB2312"/>
          <w:b/>
          <w:bCs/>
          <w:sz w:val="32"/>
          <w:szCs w:val="32"/>
        </w:rPr>
        <w:t>要素特点：一是</w:t>
      </w:r>
      <w:r>
        <w:rPr>
          <w:rFonts w:hint="eastAsia" w:ascii="宋体" w:hAnsi="宋体" w:eastAsia="仿宋_GB2312"/>
          <w:sz w:val="32"/>
          <w:szCs w:val="32"/>
        </w:rPr>
        <w:t>将企业</w:t>
      </w:r>
      <w:r>
        <w:rPr>
          <w:rFonts w:ascii="宋体" w:hAnsi="宋体" w:eastAsia="仿宋_GB2312"/>
          <w:sz w:val="32"/>
          <w:szCs w:val="32"/>
        </w:rPr>
        <w:t>安全方针、安全使命、安全原则</w:t>
      </w:r>
      <w:r>
        <w:rPr>
          <w:rFonts w:hint="eastAsia" w:ascii="宋体" w:hAnsi="宋体" w:eastAsia="仿宋_GB2312"/>
          <w:sz w:val="32"/>
          <w:szCs w:val="32"/>
        </w:rPr>
        <w:t>、</w:t>
      </w:r>
      <w:r>
        <w:rPr>
          <w:rFonts w:ascii="宋体" w:hAnsi="宋体" w:eastAsia="仿宋_GB2312"/>
          <w:sz w:val="32"/>
          <w:szCs w:val="32"/>
        </w:rPr>
        <w:t>安全愿景、安全目标等内容</w:t>
      </w:r>
      <w:r>
        <w:rPr>
          <w:rFonts w:hint="eastAsia" w:ascii="宋体" w:hAnsi="宋体" w:eastAsia="仿宋_GB2312"/>
          <w:sz w:val="32"/>
          <w:szCs w:val="32"/>
        </w:rPr>
        <w:t>总结凝练形成本单位的安全理念，有助于企业从业人员将安全意识内化于心、外化于行，形成自我约束和相互监督的良好机制；</w:t>
      </w:r>
      <w:r>
        <w:rPr>
          <w:rFonts w:hint="eastAsia" w:ascii="宋体" w:hAnsi="宋体" w:eastAsia="仿宋_GB2312"/>
          <w:b/>
          <w:sz w:val="32"/>
          <w:szCs w:val="32"/>
        </w:rPr>
        <w:t>二是</w:t>
      </w:r>
      <w:r>
        <w:rPr>
          <w:rFonts w:hint="eastAsia" w:ascii="宋体" w:hAnsi="宋体" w:eastAsia="仿宋_GB2312"/>
          <w:sz w:val="32"/>
          <w:szCs w:val="32"/>
        </w:rPr>
        <w:t>增强信息沟通的顺畅性，确保风险及时发现和有效应对，提升管理效率、促进团队协作。</w:t>
      </w:r>
    </w:p>
    <w:p>
      <w:pPr>
        <w:spacing w:line="560" w:lineRule="exact"/>
        <w:ind w:firstLine="642" w:firstLineChars="200"/>
        <w:rPr>
          <w:rFonts w:hint="eastAsia" w:ascii="宋体" w:hAnsi="宋体" w:eastAsia="仿宋_GB2312"/>
          <w:b/>
          <w:sz w:val="32"/>
          <w:szCs w:val="32"/>
        </w:rPr>
      </w:pPr>
      <w:r>
        <w:rPr>
          <w:rFonts w:hint="eastAsia" w:ascii="宋体" w:hAnsi="宋体" w:eastAsia="仿宋_GB2312"/>
          <w:b/>
          <w:sz w:val="32"/>
          <w:szCs w:val="32"/>
        </w:rPr>
        <w:t>（4）安全风险分级管控</w:t>
      </w:r>
    </w:p>
    <w:p>
      <w:pPr>
        <w:spacing w:line="560" w:lineRule="exact"/>
        <w:ind w:firstLine="642" w:firstLineChars="200"/>
        <w:rPr>
          <w:rFonts w:hint="eastAsia" w:ascii="宋体" w:hAnsi="宋体" w:eastAsia="仿宋_GB2312"/>
          <w:sz w:val="32"/>
          <w:szCs w:val="32"/>
        </w:rPr>
      </w:pPr>
      <w:r>
        <w:rPr>
          <w:rFonts w:hint="eastAsia" w:ascii="宋体" w:hAnsi="宋体" w:eastAsia="仿宋_GB2312"/>
          <w:b/>
          <w:sz w:val="32"/>
          <w:szCs w:val="32"/>
        </w:rPr>
        <w:t>要素内容</w:t>
      </w:r>
      <w:r>
        <w:rPr>
          <w:rFonts w:hint="eastAsia" w:ascii="宋体" w:hAnsi="宋体" w:eastAsia="仿宋_GB2312"/>
          <w:sz w:val="32"/>
          <w:szCs w:val="32"/>
        </w:rPr>
        <w:t>：包括一般要求、危险源辨识、风险评估和风险控制4个二级要素。</w:t>
      </w:r>
    </w:p>
    <w:p>
      <w:pPr>
        <w:spacing w:line="560" w:lineRule="exact"/>
        <w:ind w:firstLine="642" w:firstLineChars="200"/>
        <w:rPr>
          <w:rFonts w:hint="eastAsia" w:ascii="宋体" w:hAnsi="宋体" w:eastAsia="仿宋_GB2312"/>
          <w:sz w:val="32"/>
          <w:szCs w:val="32"/>
        </w:rPr>
      </w:pPr>
      <w:r>
        <w:rPr>
          <w:rFonts w:hint="eastAsia" w:ascii="宋体" w:hAnsi="宋体" w:eastAsia="仿宋_GB2312"/>
          <w:b/>
          <w:sz w:val="32"/>
          <w:szCs w:val="32"/>
        </w:rPr>
        <w:t>要素变化</w:t>
      </w:r>
      <w:r>
        <w:rPr>
          <w:rFonts w:hint="eastAsia" w:ascii="宋体" w:hAnsi="宋体" w:eastAsia="仿宋_GB2312"/>
          <w:sz w:val="32"/>
          <w:szCs w:val="32"/>
        </w:rPr>
        <w:t>：新增“一般要求”二级要素。</w:t>
      </w:r>
    </w:p>
    <w:p>
      <w:pPr>
        <w:spacing w:line="560" w:lineRule="exact"/>
        <w:ind w:firstLine="642" w:firstLineChars="200"/>
        <w:rPr>
          <w:rFonts w:hint="eastAsia" w:ascii="宋体" w:hAnsi="宋体" w:eastAsia="仿宋_GB2312"/>
          <w:sz w:val="32"/>
          <w:szCs w:val="32"/>
        </w:rPr>
      </w:pPr>
      <w:r>
        <w:rPr>
          <w:rFonts w:hint="eastAsia" w:ascii="宋体" w:hAnsi="宋体" w:eastAsia="仿宋_GB2312"/>
          <w:b/>
          <w:sz w:val="32"/>
          <w:szCs w:val="32"/>
        </w:rPr>
        <w:t>要素特点</w:t>
      </w:r>
      <w:r>
        <w:rPr>
          <w:rFonts w:hint="eastAsia" w:ascii="宋体" w:hAnsi="宋体" w:eastAsia="仿宋_GB2312"/>
          <w:sz w:val="32"/>
          <w:szCs w:val="32"/>
        </w:rPr>
        <w:t>：</w:t>
      </w:r>
      <w:r>
        <w:rPr>
          <w:rFonts w:hint="eastAsia" w:ascii="宋体" w:hAnsi="宋体" w:eastAsia="仿宋_GB2312"/>
          <w:b/>
          <w:sz w:val="32"/>
          <w:szCs w:val="32"/>
        </w:rPr>
        <w:t>一是</w:t>
      </w:r>
      <w:r>
        <w:rPr>
          <w:rFonts w:hint="eastAsia" w:ascii="宋体" w:hAnsi="宋体" w:eastAsia="仿宋_GB2312"/>
          <w:sz w:val="32"/>
          <w:szCs w:val="32"/>
        </w:rPr>
        <w:t>强调了企业应关注风险控制措施的有效性并要求将其纳入规章制度、操作规程、应急预案等文件；</w:t>
      </w:r>
      <w:r>
        <w:rPr>
          <w:rFonts w:hint="eastAsia" w:ascii="宋体" w:hAnsi="宋体" w:eastAsia="仿宋_GB2312"/>
          <w:b/>
          <w:sz w:val="32"/>
          <w:szCs w:val="32"/>
        </w:rPr>
        <w:t>二是</w:t>
      </w:r>
      <w:r>
        <w:rPr>
          <w:rFonts w:hint="eastAsia" w:ascii="宋体" w:hAnsi="宋体" w:eastAsia="仿宋_GB2312"/>
          <w:sz w:val="32"/>
          <w:szCs w:val="32"/>
        </w:rPr>
        <w:t>借鉴《江苏省生产经营单位安全风险管理条例》要求，企业应参考风险目录，上报重大安全风险清单及其管控措施；</w:t>
      </w:r>
      <w:r>
        <w:rPr>
          <w:rFonts w:hint="eastAsia" w:ascii="宋体" w:hAnsi="宋体" w:eastAsia="仿宋_GB2312"/>
          <w:b/>
          <w:sz w:val="32"/>
          <w:szCs w:val="32"/>
        </w:rPr>
        <w:t>三是</w:t>
      </w:r>
      <w:r>
        <w:rPr>
          <w:rFonts w:hint="eastAsia" w:ascii="宋体" w:hAnsi="宋体" w:eastAsia="仿宋_GB2312"/>
          <w:sz w:val="32"/>
          <w:szCs w:val="32"/>
        </w:rPr>
        <w:t>参考《HSE管理体系 第1部分 规范》</w:t>
      </w:r>
      <w:r>
        <w:rPr>
          <w:rFonts w:hint="eastAsia" w:ascii="宋体" w:hAnsi="宋体" w:eastAsia="仿宋_GB2312"/>
          <w:sz w:val="32"/>
          <w:szCs w:val="32"/>
          <w:lang w:eastAsia="zh-CN"/>
        </w:rPr>
        <w:t>（</w:t>
      </w:r>
      <w:r>
        <w:rPr>
          <w:rFonts w:hint="eastAsia" w:ascii="宋体" w:hAnsi="宋体" w:eastAsia="仿宋_GB2312"/>
          <w:sz w:val="32"/>
          <w:szCs w:val="32"/>
        </w:rPr>
        <w:t>Q/SY 08002.1-2022</w:t>
      </w:r>
      <w:r>
        <w:rPr>
          <w:rFonts w:hint="eastAsia" w:ascii="宋体" w:hAnsi="宋体" w:eastAsia="仿宋_GB2312"/>
          <w:sz w:val="32"/>
          <w:szCs w:val="32"/>
          <w:shd w:val="clear" w:color="auto" w:fill="FFFFFF"/>
          <w:lang w:eastAsia="zh-CN"/>
        </w:rPr>
        <w:t>）</w:t>
      </w:r>
      <w:r>
        <w:rPr>
          <w:rFonts w:hint="eastAsia" w:ascii="宋体" w:hAnsi="宋体" w:eastAsia="仿宋_GB2312"/>
          <w:sz w:val="32"/>
          <w:szCs w:val="32"/>
        </w:rPr>
        <w:t>要求企业应定期对安全风险分级管控效果进行评价，并在评价结果中衔接至隐患排查治理。</w:t>
      </w:r>
    </w:p>
    <w:p>
      <w:pPr>
        <w:spacing w:line="560" w:lineRule="exact"/>
        <w:ind w:firstLine="642" w:firstLineChars="200"/>
        <w:rPr>
          <w:rFonts w:hint="eastAsia" w:ascii="宋体" w:hAnsi="宋体" w:eastAsia="仿宋_GB2312"/>
          <w:b/>
          <w:sz w:val="32"/>
          <w:szCs w:val="32"/>
        </w:rPr>
      </w:pPr>
      <w:r>
        <w:rPr>
          <w:rFonts w:hint="eastAsia" w:ascii="宋体" w:hAnsi="宋体" w:eastAsia="仿宋_GB2312"/>
          <w:b/>
          <w:sz w:val="32"/>
          <w:szCs w:val="32"/>
          <w:shd w:val="clear" w:color="auto" w:fill="FFFFFF"/>
        </w:rPr>
        <w:t>（5）</w:t>
      </w:r>
      <w:r>
        <w:rPr>
          <w:rFonts w:hint="eastAsia" w:ascii="宋体" w:hAnsi="宋体" w:eastAsia="仿宋_GB2312"/>
          <w:b/>
          <w:sz w:val="32"/>
          <w:szCs w:val="32"/>
        </w:rPr>
        <w:t>隐患排查治理</w:t>
      </w:r>
    </w:p>
    <w:p>
      <w:pPr>
        <w:spacing w:line="560" w:lineRule="exact"/>
        <w:ind w:firstLine="642" w:firstLineChars="200"/>
        <w:rPr>
          <w:rFonts w:hint="eastAsia" w:ascii="宋体" w:hAnsi="宋体" w:eastAsia="仿宋_GB2312"/>
          <w:sz w:val="32"/>
          <w:szCs w:val="32"/>
        </w:rPr>
      </w:pPr>
      <w:r>
        <w:rPr>
          <w:rFonts w:hint="eastAsia" w:ascii="宋体" w:hAnsi="宋体" w:eastAsia="仿宋_GB2312"/>
          <w:b/>
          <w:sz w:val="32"/>
          <w:szCs w:val="32"/>
        </w:rPr>
        <w:t>要素内容</w:t>
      </w:r>
      <w:r>
        <w:rPr>
          <w:rFonts w:hint="eastAsia" w:ascii="宋体" w:hAnsi="宋体" w:eastAsia="仿宋_GB2312"/>
          <w:sz w:val="32"/>
          <w:szCs w:val="32"/>
        </w:rPr>
        <w:t>：包含一般要求、隐患排查和隐患治理3个二级要素。</w:t>
      </w:r>
    </w:p>
    <w:p>
      <w:pPr>
        <w:spacing w:line="560" w:lineRule="exact"/>
        <w:ind w:firstLine="642" w:firstLineChars="200"/>
        <w:rPr>
          <w:rFonts w:hint="eastAsia" w:ascii="宋体" w:hAnsi="宋体" w:eastAsia="仿宋_GB2312"/>
          <w:sz w:val="32"/>
          <w:szCs w:val="32"/>
        </w:rPr>
      </w:pPr>
      <w:r>
        <w:rPr>
          <w:rFonts w:hint="eastAsia" w:ascii="宋体" w:hAnsi="宋体" w:eastAsia="仿宋_GB2312"/>
          <w:b/>
          <w:sz w:val="32"/>
          <w:szCs w:val="32"/>
        </w:rPr>
        <w:t>要素变化</w:t>
      </w:r>
      <w:r>
        <w:rPr>
          <w:rFonts w:hint="eastAsia" w:ascii="宋体" w:hAnsi="宋体" w:eastAsia="仿宋_GB2312"/>
          <w:sz w:val="32"/>
          <w:szCs w:val="32"/>
        </w:rPr>
        <w:t>：新增“一般要求”二级要素。</w:t>
      </w:r>
    </w:p>
    <w:p>
      <w:pPr>
        <w:spacing w:line="560" w:lineRule="exact"/>
        <w:ind w:firstLine="642" w:firstLineChars="200"/>
        <w:rPr>
          <w:rFonts w:hint="eastAsia" w:ascii="宋体" w:hAnsi="宋体" w:eastAsia="仿宋_GB2312"/>
          <w:sz w:val="32"/>
          <w:szCs w:val="32"/>
          <w:highlight w:val="yellow"/>
        </w:rPr>
      </w:pPr>
      <w:r>
        <w:rPr>
          <w:rFonts w:hint="eastAsia" w:ascii="宋体" w:hAnsi="宋体" w:eastAsia="仿宋_GB2312"/>
          <w:b/>
          <w:sz w:val="32"/>
          <w:szCs w:val="32"/>
        </w:rPr>
        <w:t>要素特点</w:t>
      </w:r>
      <w:r>
        <w:rPr>
          <w:rFonts w:hint="eastAsia" w:ascii="宋体" w:hAnsi="宋体" w:eastAsia="仿宋_GB2312"/>
          <w:sz w:val="32"/>
          <w:szCs w:val="32"/>
        </w:rPr>
        <w:t>：</w:t>
      </w:r>
      <w:r>
        <w:rPr>
          <w:rFonts w:hint="eastAsia" w:ascii="宋体" w:hAnsi="宋体" w:eastAsia="仿宋_GB2312"/>
          <w:b/>
          <w:sz w:val="32"/>
          <w:szCs w:val="32"/>
        </w:rPr>
        <w:t>一是</w:t>
      </w:r>
      <w:r>
        <w:rPr>
          <w:rFonts w:hint="eastAsia" w:ascii="宋体" w:hAnsi="宋体" w:eastAsia="仿宋_GB2312"/>
          <w:sz w:val="32"/>
          <w:szCs w:val="32"/>
        </w:rPr>
        <w:t>强调了主要负责人在重大事故隐患排查治理工作中的职责，明确将重大事故隐患判定标准作为排查依据，主要负责人组织制定治理方案并督促落实治理情况；</w:t>
      </w:r>
      <w:r>
        <w:rPr>
          <w:rFonts w:hint="eastAsia" w:ascii="宋体" w:hAnsi="宋体" w:eastAsia="仿宋_GB2312"/>
          <w:b/>
          <w:sz w:val="32"/>
          <w:szCs w:val="32"/>
        </w:rPr>
        <w:t>二是</w:t>
      </w:r>
      <w:r>
        <w:rPr>
          <w:rFonts w:hint="eastAsia" w:ascii="宋体" w:hAnsi="宋体" w:eastAsia="仿宋_GB2312"/>
          <w:sz w:val="32"/>
          <w:szCs w:val="32"/>
        </w:rPr>
        <w:t>依据《关于推动建立完善生产经营单位事故隐患内部报告奖励机制的意见》，新增了企业建立内部报告奖励机制的要求，扩充了隐患排查途径。</w:t>
      </w:r>
    </w:p>
    <w:p>
      <w:pPr>
        <w:snapToGrid w:val="0"/>
        <w:spacing w:line="560" w:lineRule="exact"/>
        <w:ind w:firstLine="642" w:firstLineChars="200"/>
        <w:rPr>
          <w:rFonts w:hint="eastAsia" w:ascii="宋体" w:hAnsi="宋体" w:eastAsia="仿宋_GB2312"/>
          <w:b/>
          <w:sz w:val="32"/>
          <w:szCs w:val="32"/>
        </w:rPr>
      </w:pPr>
      <w:r>
        <w:rPr>
          <w:rFonts w:hint="eastAsia" w:ascii="宋体" w:hAnsi="宋体" w:eastAsia="仿宋_GB2312"/>
          <w:b/>
          <w:sz w:val="32"/>
          <w:szCs w:val="32"/>
          <w:shd w:val="clear" w:color="auto" w:fill="FFFFFF"/>
        </w:rPr>
        <w:t>（6）</w:t>
      </w:r>
      <w:r>
        <w:rPr>
          <w:rFonts w:hint="eastAsia" w:ascii="宋体" w:hAnsi="宋体" w:eastAsia="仿宋_GB2312"/>
          <w:b/>
          <w:sz w:val="32"/>
          <w:szCs w:val="32"/>
        </w:rPr>
        <w:t>人员管理</w:t>
      </w:r>
    </w:p>
    <w:p>
      <w:pPr>
        <w:snapToGrid w:val="0"/>
        <w:spacing w:line="560" w:lineRule="exact"/>
        <w:ind w:firstLine="642" w:firstLineChars="200"/>
        <w:rPr>
          <w:rFonts w:hint="eastAsia" w:ascii="宋体" w:hAnsi="宋体" w:eastAsia="仿宋_GB2312"/>
          <w:sz w:val="32"/>
          <w:szCs w:val="32"/>
        </w:rPr>
      </w:pPr>
      <w:r>
        <w:rPr>
          <w:rFonts w:hint="eastAsia" w:ascii="宋体" w:hAnsi="宋体" w:eastAsia="仿宋_GB2312"/>
          <w:b/>
          <w:bCs/>
          <w:sz w:val="32"/>
          <w:szCs w:val="32"/>
        </w:rPr>
        <w:t>要</w:t>
      </w:r>
      <w:r>
        <w:rPr>
          <w:rFonts w:hint="eastAsia" w:ascii="宋体" w:hAnsi="宋体" w:eastAsia="仿宋_GB2312"/>
          <w:b/>
          <w:sz w:val="32"/>
          <w:szCs w:val="32"/>
        </w:rPr>
        <w:t>素内容</w:t>
      </w:r>
      <w:r>
        <w:rPr>
          <w:rFonts w:hint="eastAsia" w:ascii="宋体" w:hAnsi="宋体" w:eastAsia="仿宋_GB2312"/>
          <w:sz w:val="32"/>
          <w:szCs w:val="32"/>
        </w:rPr>
        <w:t>：人员管理包括人员准入、安全资格、安全培训、行为管控四个二级要素。</w:t>
      </w:r>
    </w:p>
    <w:p>
      <w:pPr>
        <w:snapToGrid w:val="0"/>
        <w:spacing w:line="560" w:lineRule="exact"/>
        <w:ind w:firstLine="642" w:firstLineChars="200"/>
        <w:rPr>
          <w:rFonts w:hint="eastAsia" w:ascii="宋体" w:hAnsi="宋体" w:eastAsia="仿宋_GB2312"/>
          <w:sz w:val="32"/>
          <w:szCs w:val="32"/>
        </w:rPr>
      </w:pPr>
      <w:r>
        <w:rPr>
          <w:rFonts w:hint="eastAsia" w:ascii="宋体" w:hAnsi="宋体" w:eastAsia="仿宋_GB2312"/>
          <w:b/>
          <w:sz w:val="32"/>
          <w:szCs w:val="32"/>
        </w:rPr>
        <w:t>要素变化</w:t>
      </w:r>
      <w:r>
        <w:rPr>
          <w:rFonts w:hint="eastAsia" w:ascii="宋体" w:hAnsi="宋体" w:eastAsia="仿宋_GB2312"/>
          <w:sz w:val="32"/>
          <w:szCs w:val="32"/>
          <w:shd w:val="clear" w:color="auto" w:fill="FFFFFF"/>
        </w:rPr>
        <w:t>:</w:t>
      </w:r>
      <w:r>
        <w:rPr>
          <w:rFonts w:hint="eastAsia" w:ascii="宋体" w:hAnsi="宋体" w:eastAsia="仿宋_GB2312"/>
          <w:sz w:val="32"/>
          <w:szCs w:val="32"/>
        </w:rPr>
        <w:t xml:space="preserve"> 新增“人员准入”“安全资格”“资源配置”“行为规范”“行为观察”“安全行为激励”“不安全行为管控”二级要素。</w:t>
      </w:r>
      <w:r>
        <w:rPr>
          <w:rFonts w:ascii="宋体" w:hAnsi="宋体" w:eastAsia="仿宋_GB2312"/>
          <w:sz w:val="32"/>
          <w:szCs w:val="32"/>
        </w:rPr>
        <w:t xml:space="preserve"> </w:t>
      </w:r>
    </w:p>
    <w:p>
      <w:pPr>
        <w:snapToGrid w:val="0"/>
        <w:spacing w:line="560" w:lineRule="exact"/>
        <w:ind w:firstLine="642" w:firstLineChars="200"/>
        <w:rPr>
          <w:rFonts w:hint="eastAsia" w:ascii="宋体" w:hAnsi="宋体" w:eastAsia="仿宋_GB2312"/>
          <w:sz w:val="32"/>
          <w:szCs w:val="32"/>
        </w:rPr>
      </w:pPr>
      <w:r>
        <w:rPr>
          <w:rFonts w:hint="eastAsia" w:ascii="宋体" w:hAnsi="宋体" w:eastAsia="仿宋_GB2312"/>
          <w:b/>
          <w:sz w:val="32"/>
          <w:szCs w:val="32"/>
        </w:rPr>
        <w:t>要素特点：一是</w:t>
      </w:r>
      <w:r>
        <w:rPr>
          <w:rFonts w:hint="eastAsia" w:ascii="宋体" w:hAnsi="宋体" w:eastAsia="仿宋_GB2312"/>
          <w:sz w:val="32"/>
          <w:szCs w:val="32"/>
        </w:rPr>
        <w:t>明确从业人员安全准入要求，从源头上确保从业人员的综合安全素质和能力符合岗位要求；</w:t>
      </w:r>
      <w:r>
        <w:rPr>
          <w:rFonts w:hint="eastAsia" w:ascii="宋体" w:hAnsi="宋体" w:eastAsia="仿宋_GB2312"/>
          <w:b/>
          <w:sz w:val="32"/>
          <w:szCs w:val="32"/>
        </w:rPr>
        <w:t>二是</w:t>
      </w:r>
      <w:r>
        <w:rPr>
          <w:rFonts w:hint="eastAsia" w:ascii="宋体" w:hAnsi="宋体" w:eastAsia="仿宋_GB2312"/>
          <w:sz w:val="32"/>
          <w:szCs w:val="32"/>
        </w:rPr>
        <w:t>鼓励企业开展多元化的培训手段，</w:t>
      </w:r>
      <w:r>
        <w:rPr>
          <w:rFonts w:hint="eastAsia" w:ascii="宋体" w:hAnsi="宋体" w:eastAsia="仿宋_GB2312"/>
          <w:sz w:val="32"/>
          <w:szCs w:val="32"/>
          <w:shd w:val="clear" w:color="auto" w:fill="FFFFFF"/>
        </w:rPr>
        <w:t>提高培训效果</w:t>
      </w:r>
      <w:r>
        <w:rPr>
          <w:rFonts w:hint="eastAsia" w:ascii="宋体" w:hAnsi="宋体" w:eastAsia="仿宋_GB2312"/>
          <w:sz w:val="32"/>
          <w:szCs w:val="32"/>
        </w:rPr>
        <w:t>；</w:t>
      </w:r>
      <w:r>
        <w:rPr>
          <w:rFonts w:hint="eastAsia" w:ascii="宋体" w:hAnsi="宋体" w:eastAsia="仿宋_GB2312"/>
          <w:b/>
          <w:sz w:val="32"/>
          <w:szCs w:val="32"/>
        </w:rPr>
        <w:t>三是</w:t>
      </w:r>
      <w:r>
        <w:rPr>
          <w:rFonts w:hint="eastAsia" w:ascii="宋体" w:hAnsi="宋体" w:eastAsia="仿宋_GB2312"/>
          <w:sz w:val="32"/>
          <w:szCs w:val="32"/>
        </w:rPr>
        <w:t>对企业提出正向激励要求，引导从业人员养成良好的安全行为习惯。</w:t>
      </w:r>
    </w:p>
    <w:p>
      <w:pPr>
        <w:widowControl/>
        <w:autoSpaceDE w:val="0"/>
        <w:autoSpaceDN w:val="0"/>
        <w:spacing w:line="560" w:lineRule="exact"/>
        <w:ind w:firstLine="642" w:firstLineChars="200"/>
        <w:rPr>
          <w:rFonts w:hint="eastAsia" w:ascii="宋体" w:hAnsi="宋体" w:eastAsia="仿宋_GB2312"/>
          <w:b/>
          <w:sz w:val="32"/>
          <w:szCs w:val="32"/>
        </w:rPr>
      </w:pPr>
      <w:r>
        <w:rPr>
          <w:rFonts w:hint="eastAsia" w:ascii="宋体" w:hAnsi="宋体" w:eastAsia="仿宋_GB2312"/>
          <w:b/>
          <w:sz w:val="32"/>
          <w:szCs w:val="32"/>
        </w:rPr>
        <w:t>（7）现场管理</w:t>
      </w:r>
    </w:p>
    <w:p>
      <w:pPr>
        <w:widowControl/>
        <w:autoSpaceDE w:val="0"/>
        <w:autoSpaceDN w:val="0"/>
        <w:spacing w:line="560" w:lineRule="exact"/>
        <w:ind w:firstLine="642" w:firstLineChars="200"/>
        <w:rPr>
          <w:rFonts w:hint="eastAsia" w:ascii="宋体" w:hAnsi="宋体" w:eastAsia="仿宋_GB2312"/>
          <w:sz w:val="32"/>
          <w:szCs w:val="32"/>
        </w:rPr>
      </w:pPr>
      <w:r>
        <w:rPr>
          <w:rFonts w:hint="eastAsia" w:ascii="宋体" w:hAnsi="宋体" w:eastAsia="仿宋_GB2312"/>
          <w:b/>
          <w:sz w:val="32"/>
          <w:szCs w:val="32"/>
        </w:rPr>
        <w:t>要素内容</w:t>
      </w:r>
      <w:r>
        <w:rPr>
          <w:rFonts w:hint="eastAsia" w:ascii="宋体" w:hAnsi="宋体" w:eastAsia="仿宋_GB2312"/>
          <w:sz w:val="32"/>
          <w:szCs w:val="32"/>
        </w:rPr>
        <w:t>：包括作业环境与条件、设备设施、危险作业、异常处置、变更管理、相关方管理6个二级要素。</w:t>
      </w:r>
    </w:p>
    <w:p>
      <w:pPr>
        <w:widowControl/>
        <w:autoSpaceDE w:val="0"/>
        <w:autoSpaceDN w:val="0"/>
        <w:spacing w:line="560" w:lineRule="exact"/>
        <w:ind w:firstLine="642" w:firstLineChars="200"/>
        <w:rPr>
          <w:rFonts w:hint="eastAsia" w:ascii="宋体" w:hAnsi="宋体" w:eastAsia="仿宋_GB2312"/>
          <w:sz w:val="32"/>
          <w:szCs w:val="32"/>
        </w:rPr>
      </w:pPr>
      <w:r>
        <w:rPr>
          <w:rFonts w:hint="eastAsia" w:ascii="宋体" w:hAnsi="宋体" w:eastAsia="仿宋_GB2312"/>
          <w:b/>
          <w:sz w:val="32"/>
          <w:szCs w:val="32"/>
        </w:rPr>
        <w:t>要素变化</w:t>
      </w:r>
      <w:r>
        <w:rPr>
          <w:rFonts w:hint="eastAsia" w:ascii="宋体" w:hAnsi="宋体" w:eastAsia="仿宋_GB2312"/>
          <w:sz w:val="32"/>
          <w:szCs w:val="32"/>
        </w:rPr>
        <w:t>：增加“危险作业”“异常处置”“变更管理”3个二级要素，新增“一般要求”1个三级要素。</w:t>
      </w:r>
    </w:p>
    <w:p>
      <w:pPr>
        <w:widowControl/>
        <w:autoSpaceDE w:val="0"/>
        <w:autoSpaceDN w:val="0"/>
        <w:spacing w:line="560" w:lineRule="exact"/>
        <w:ind w:firstLine="642" w:firstLineChars="200"/>
        <w:rPr>
          <w:rFonts w:hint="eastAsia" w:ascii="宋体" w:hAnsi="宋体" w:eastAsia="仿宋_GB2312"/>
          <w:sz w:val="32"/>
          <w:szCs w:val="32"/>
        </w:rPr>
      </w:pPr>
      <w:r>
        <w:rPr>
          <w:rFonts w:hint="eastAsia" w:ascii="宋体" w:hAnsi="宋体" w:eastAsia="仿宋_GB2312"/>
          <w:b/>
          <w:sz w:val="32"/>
          <w:szCs w:val="32"/>
        </w:rPr>
        <w:t>要素特点：</w:t>
      </w:r>
      <w:r>
        <w:rPr>
          <w:rFonts w:hint="eastAsia" w:ascii="宋体" w:hAnsi="宋体" w:eastAsia="仿宋_GB2312"/>
          <w:sz w:val="32"/>
          <w:szCs w:val="32"/>
        </w:rPr>
        <w:t>增加危险作业、异常处置，作为</w:t>
      </w:r>
      <w:r>
        <w:rPr>
          <w:rFonts w:hint="eastAsia" w:ascii="宋体" w:hAnsi="宋体"/>
        </w:rPr>
        <w:t xml:space="preserve"> </w:t>
      </w:r>
      <w:r>
        <w:rPr>
          <w:rFonts w:hint="eastAsia" w:ascii="宋体" w:hAnsi="宋体" w:eastAsia="仿宋_GB2312"/>
          <w:sz w:val="32"/>
          <w:szCs w:val="32"/>
        </w:rPr>
        <w:t>“第三道防线（应急处置与救援）”的前向延伸。</w:t>
      </w:r>
    </w:p>
    <w:p>
      <w:pPr>
        <w:spacing w:line="560" w:lineRule="exact"/>
        <w:ind w:firstLine="642" w:firstLineChars="200"/>
        <w:rPr>
          <w:rFonts w:hint="eastAsia" w:ascii="宋体" w:hAnsi="宋体" w:eastAsia="仿宋_GB2312"/>
          <w:b/>
          <w:bCs/>
          <w:sz w:val="32"/>
          <w:szCs w:val="32"/>
        </w:rPr>
      </w:pPr>
      <w:r>
        <w:rPr>
          <w:rFonts w:hint="eastAsia" w:ascii="宋体" w:hAnsi="宋体" w:eastAsia="仿宋_GB2312"/>
          <w:b/>
          <w:bCs/>
          <w:sz w:val="32"/>
          <w:szCs w:val="32"/>
        </w:rPr>
        <w:t>（8）应急管理</w:t>
      </w:r>
    </w:p>
    <w:p>
      <w:pPr>
        <w:adjustRightInd/>
        <w:spacing w:line="560" w:lineRule="exact"/>
        <w:ind w:firstLine="642" w:firstLineChars="200"/>
        <w:rPr>
          <w:rFonts w:hint="eastAsia" w:ascii="宋体" w:hAnsi="宋体" w:eastAsia="仿宋_GB2312"/>
          <w:sz w:val="32"/>
          <w:szCs w:val="32"/>
        </w:rPr>
      </w:pPr>
      <w:r>
        <w:rPr>
          <w:rFonts w:hint="eastAsia" w:ascii="宋体" w:hAnsi="宋体" w:eastAsia="仿宋_GB2312"/>
          <w:b/>
          <w:bCs/>
          <w:sz w:val="32"/>
          <w:szCs w:val="32"/>
        </w:rPr>
        <w:t>要素内容：</w:t>
      </w:r>
      <w:r>
        <w:rPr>
          <w:rFonts w:hint="eastAsia" w:ascii="宋体" w:hAnsi="宋体" w:eastAsia="仿宋_GB2312"/>
          <w:sz w:val="32"/>
          <w:szCs w:val="32"/>
        </w:rPr>
        <w:t>包括一般要求、应急准备、应急处置与救援和应急恢复4个二级要素。</w:t>
      </w:r>
    </w:p>
    <w:p>
      <w:pPr>
        <w:widowControl/>
        <w:autoSpaceDE w:val="0"/>
        <w:autoSpaceDN w:val="0"/>
        <w:spacing w:line="560" w:lineRule="exact"/>
        <w:ind w:firstLine="642" w:firstLineChars="200"/>
        <w:rPr>
          <w:rFonts w:hint="eastAsia" w:ascii="宋体" w:hAnsi="宋体" w:eastAsia="仿宋_GB2312"/>
          <w:sz w:val="32"/>
          <w:szCs w:val="32"/>
        </w:rPr>
      </w:pPr>
      <w:r>
        <w:rPr>
          <w:rFonts w:hint="eastAsia" w:ascii="宋体" w:hAnsi="宋体" w:eastAsia="仿宋_GB2312"/>
          <w:b/>
          <w:bCs/>
          <w:sz w:val="32"/>
          <w:szCs w:val="32"/>
        </w:rPr>
        <w:t>要素变化：</w:t>
      </w:r>
      <w:r>
        <w:rPr>
          <w:rFonts w:hint="eastAsia" w:ascii="宋体" w:hAnsi="宋体" w:eastAsia="仿宋_GB2312"/>
          <w:sz w:val="32"/>
          <w:szCs w:val="32"/>
        </w:rPr>
        <w:t>新增“一般要求”和“应急恢复”2个二级要素。</w:t>
      </w:r>
    </w:p>
    <w:p>
      <w:pPr>
        <w:widowControl/>
        <w:autoSpaceDE w:val="0"/>
        <w:autoSpaceDN w:val="0"/>
        <w:spacing w:line="560" w:lineRule="exact"/>
        <w:ind w:firstLine="642" w:firstLineChars="200"/>
        <w:rPr>
          <w:rFonts w:hint="eastAsia" w:ascii="宋体" w:hAnsi="宋体" w:eastAsia="仿宋_GB2312"/>
          <w:sz w:val="32"/>
          <w:szCs w:val="32"/>
        </w:rPr>
      </w:pPr>
      <w:r>
        <w:rPr>
          <w:rFonts w:hint="eastAsia" w:ascii="宋体" w:hAnsi="宋体" w:eastAsia="仿宋_GB2312"/>
          <w:b/>
          <w:bCs/>
          <w:sz w:val="32"/>
          <w:szCs w:val="32"/>
        </w:rPr>
        <w:t>要素特点：一是</w:t>
      </w:r>
      <w:r>
        <w:rPr>
          <w:rFonts w:hint="eastAsia" w:ascii="宋体" w:hAnsi="宋体" w:eastAsia="仿宋_GB2312"/>
          <w:bCs/>
          <w:sz w:val="32"/>
          <w:szCs w:val="32"/>
        </w:rPr>
        <w:t>基于《中华人民共和国安全生产法》《中华人民共和国突发事件应对法》，增加了应急恢复环节，完善了全流程应急管理；</w:t>
      </w:r>
      <w:r>
        <w:rPr>
          <w:rFonts w:hint="eastAsia" w:ascii="宋体" w:hAnsi="宋体" w:eastAsia="仿宋_GB2312"/>
          <w:b/>
          <w:bCs/>
          <w:sz w:val="32"/>
          <w:szCs w:val="32"/>
        </w:rPr>
        <w:t>二是</w:t>
      </w:r>
      <w:r>
        <w:rPr>
          <w:rFonts w:hint="eastAsia" w:ascii="宋体" w:hAnsi="宋体" w:eastAsia="仿宋_GB2312"/>
          <w:bCs/>
          <w:sz w:val="32"/>
          <w:szCs w:val="32"/>
        </w:rPr>
        <w:t>要求企业根据应急预案</w:t>
      </w:r>
      <w:r>
        <w:rPr>
          <w:rFonts w:ascii="宋体" w:hAnsi="宋体" w:eastAsia="仿宋_GB2312"/>
          <w:bCs/>
          <w:sz w:val="32"/>
          <w:szCs w:val="32"/>
        </w:rPr>
        <w:t>编制具有针对性和可操作性的应急处置卡</w:t>
      </w:r>
      <w:r>
        <w:rPr>
          <w:rFonts w:hint="eastAsia" w:ascii="宋体" w:hAnsi="宋体" w:eastAsia="仿宋_GB2312"/>
          <w:bCs/>
          <w:sz w:val="32"/>
          <w:szCs w:val="32"/>
        </w:rPr>
        <w:t>，</w:t>
      </w:r>
      <w:r>
        <w:rPr>
          <w:rFonts w:ascii="宋体" w:hAnsi="宋体" w:eastAsia="仿宋_GB2312"/>
          <w:bCs/>
          <w:sz w:val="32"/>
          <w:szCs w:val="32"/>
        </w:rPr>
        <w:t>提高应急响应效率、保障人员安全</w:t>
      </w:r>
      <w:r>
        <w:rPr>
          <w:rFonts w:hint="eastAsia" w:ascii="宋体" w:hAnsi="宋体" w:eastAsia="仿宋_GB2312"/>
          <w:sz w:val="32"/>
          <w:szCs w:val="32"/>
        </w:rPr>
        <w:t>；</w:t>
      </w:r>
      <w:r>
        <w:rPr>
          <w:rFonts w:hint="eastAsia" w:ascii="宋体" w:hAnsi="宋体" w:eastAsia="仿宋_GB2312"/>
          <w:b/>
          <w:sz w:val="32"/>
          <w:szCs w:val="32"/>
        </w:rPr>
        <w:t>三是</w:t>
      </w:r>
      <w:r>
        <w:rPr>
          <w:rFonts w:hint="eastAsia" w:ascii="宋体" w:hAnsi="宋体" w:eastAsia="仿宋_GB2312"/>
          <w:sz w:val="32"/>
          <w:szCs w:val="32"/>
        </w:rPr>
        <w:t>将自然灾害纳入应急管理要求，提升企业应对自然灾害安全风险防控能力</w:t>
      </w:r>
      <w:r>
        <w:rPr>
          <w:rFonts w:ascii="宋体" w:hAnsi="宋体" w:eastAsia="仿宋_GB2312"/>
          <w:bCs/>
          <w:sz w:val="32"/>
          <w:szCs w:val="32"/>
        </w:rPr>
        <w:t>。</w:t>
      </w:r>
    </w:p>
    <w:p>
      <w:pPr>
        <w:spacing w:line="560" w:lineRule="exact"/>
        <w:ind w:firstLine="642" w:firstLineChars="200"/>
        <w:jc w:val="left"/>
        <w:rPr>
          <w:rFonts w:hint="eastAsia" w:ascii="宋体" w:hAnsi="宋体" w:eastAsia="仿宋_GB2312"/>
          <w:b/>
          <w:bCs/>
          <w:sz w:val="32"/>
          <w:szCs w:val="32"/>
        </w:rPr>
      </w:pPr>
      <w:r>
        <w:rPr>
          <w:rFonts w:hint="eastAsia" w:ascii="宋体" w:hAnsi="宋体" w:eastAsia="仿宋_GB2312"/>
          <w:b/>
          <w:bCs/>
          <w:sz w:val="32"/>
          <w:szCs w:val="32"/>
          <w:shd w:val="clear" w:color="auto" w:fill="FFFFFF"/>
        </w:rPr>
        <w:t>（9）</w:t>
      </w:r>
      <w:r>
        <w:rPr>
          <w:rFonts w:hint="eastAsia" w:ascii="宋体" w:hAnsi="宋体" w:eastAsia="仿宋_GB2312"/>
          <w:b/>
          <w:bCs/>
          <w:sz w:val="32"/>
          <w:szCs w:val="32"/>
        </w:rPr>
        <w:t>检查评价</w:t>
      </w:r>
    </w:p>
    <w:p>
      <w:pPr>
        <w:spacing w:line="560" w:lineRule="exact"/>
        <w:ind w:firstLine="642" w:firstLineChars="200"/>
        <w:jc w:val="left"/>
        <w:rPr>
          <w:rFonts w:hint="eastAsia" w:ascii="宋体" w:hAnsi="宋体" w:eastAsia="仿宋_GB2312"/>
          <w:sz w:val="32"/>
          <w:szCs w:val="32"/>
        </w:rPr>
      </w:pPr>
      <w:r>
        <w:rPr>
          <w:rFonts w:hint="eastAsia" w:ascii="宋体" w:hAnsi="宋体" w:eastAsia="仿宋_GB2312"/>
          <w:b/>
          <w:bCs/>
          <w:sz w:val="32"/>
          <w:szCs w:val="32"/>
        </w:rPr>
        <w:t>要素内容</w:t>
      </w:r>
      <w:r>
        <w:rPr>
          <w:rFonts w:hint="eastAsia" w:ascii="宋体" w:hAnsi="宋体" w:eastAsia="仿宋_GB2312"/>
          <w:sz w:val="32"/>
          <w:szCs w:val="32"/>
        </w:rPr>
        <w:t>：包括安全检查和绩效评价2个二级要素。</w:t>
      </w:r>
    </w:p>
    <w:p>
      <w:pPr>
        <w:spacing w:line="560" w:lineRule="exact"/>
        <w:ind w:firstLine="642" w:firstLineChars="200"/>
        <w:rPr>
          <w:rFonts w:hint="eastAsia" w:ascii="宋体" w:hAnsi="宋体" w:eastAsia="仿宋_GB2312"/>
          <w:bCs/>
          <w:sz w:val="32"/>
          <w:szCs w:val="32"/>
        </w:rPr>
      </w:pPr>
      <w:r>
        <w:rPr>
          <w:rFonts w:hint="eastAsia" w:ascii="宋体" w:hAnsi="宋体" w:eastAsia="仿宋_GB2312"/>
          <w:b/>
          <w:bCs/>
          <w:sz w:val="32"/>
          <w:szCs w:val="32"/>
        </w:rPr>
        <w:t>要素变化：</w:t>
      </w:r>
      <w:r>
        <w:rPr>
          <w:rFonts w:hint="eastAsia" w:ascii="宋体" w:hAnsi="宋体" w:eastAsia="仿宋_GB2312"/>
          <w:bCs/>
          <w:sz w:val="32"/>
          <w:szCs w:val="32"/>
        </w:rPr>
        <w:t>新增“检查评价”1个一级要素，</w:t>
      </w:r>
      <w:r>
        <w:rPr>
          <w:rFonts w:hint="eastAsia" w:ascii="宋体" w:hAnsi="宋体" w:eastAsia="仿宋_GB2312"/>
          <w:sz w:val="32"/>
          <w:szCs w:val="32"/>
        </w:rPr>
        <w:t>“</w:t>
      </w:r>
      <w:r>
        <w:rPr>
          <w:rFonts w:hint="eastAsia" w:ascii="宋体" w:hAnsi="宋体" w:eastAsia="仿宋_GB2312"/>
          <w:bCs/>
          <w:sz w:val="32"/>
          <w:szCs w:val="32"/>
        </w:rPr>
        <w:t>安全检查</w:t>
      </w:r>
      <w:r>
        <w:rPr>
          <w:rFonts w:hint="eastAsia" w:ascii="宋体" w:hAnsi="宋体" w:eastAsia="仿宋_GB2312"/>
          <w:sz w:val="32"/>
          <w:szCs w:val="32"/>
        </w:rPr>
        <w:t>”1个</w:t>
      </w:r>
      <w:r>
        <w:rPr>
          <w:rFonts w:hint="eastAsia" w:ascii="宋体" w:hAnsi="宋体" w:eastAsia="仿宋_GB2312"/>
          <w:bCs/>
          <w:sz w:val="32"/>
          <w:szCs w:val="32"/>
        </w:rPr>
        <w:t>二级要素。</w:t>
      </w:r>
    </w:p>
    <w:p>
      <w:pPr>
        <w:spacing w:line="560" w:lineRule="exact"/>
        <w:ind w:firstLine="642" w:firstLineChars="200"/>
        <w:rPr>
          <w:rFonts w:hint="eastAsia" w:ascii="宋体" w:hAnsi="宋体" w:eastAsia="仿宋_GB2312"/>
          <w:sz w:val="32"/>
          <w:szCs w:val="32"/>
        </w:rPr>
      </w:pPr>
      <w:r>
        <w:rPr>
          <w:rFonts w:hint="eastAsia" w:ascii="宋体" w:hAnsi="宋体" w:eastAsia="仿宋_GB2312"/>
          <w:b/>
          <w:bCs/>
          <w:sz w:val="32"/>
          <w:szCs w:val="32"/>
        </w:rPr>
        <w:t>要素特点：</w:t>
      </w:r>
      <w:r>
        <w:rPr>
          <w:rFonts w:ascii="宋体" w:hAnsi="宋体" w:eastAsia="仿宋_GB2312"/>
          <w:b/>
          <w:sz w:val="32"/>
          <w:szCs w:val="32"/>
        </w:rPr>
        <w:t>一是</w:t>
      </w:r>
      <w:r>
        <w:rPr>
          <w:rFonts w:ascii="宋体" w:hAnsi="宋体" w:eastAsia="仿宋_GB2312"/>
          <w:sz w:val="32"/>
          <w:szCs w:val="32"/>
        </w:rPr>
        <w:t>新增安全检查要求，进一步</w:t>
      </w:r>
      <w:r>
        <w:rPr>
          <w:rFonts w:hint="eastAsia" w:ascii="宋体" w:hAnsi="宋体" w:eastAsia="仿宋_GB2312"/>
          <w:sz w:val="32"/>
          <w:szCs w:val="32"/>
        </w:rPr>
        <w:t>理顺</w:t>
      </w:r>
      <w:r>
        <w:rPr>
          <w:rFonts w:ascii="宋体" w:hAnsi="宋体" w:eastAsia="仿宋_GB2312"/>
          <w:sz w:val="32"/>
          <w:szCs w:val="32"/>
        </w:rPr>
        <w:t>了安全检查和隐患排查的关系</w:t>
      </w:r>
      <w:r>
        <w:rPr>
          <w:rFonts w:hint="eastAsia" w:ascii="宋体" w:hAnsi="宋体" w:eastAsia="仿宋_GB2312"/>
          <w:sz w:val="32"/>
          <w:szCs w:val="32"/>
        </w:rPr>
        <w:t>；</w:t>
      </w:r>
      <w:r>
        <w:rPr>
          <w:rFonts w:ascii="宋体" w:hAnsi="宋体" w:eastAsia="仿宋_GB2312"/>
          <w:b/>
          <w:sz w:val="32"/>
          <w:szCs w:val="32"/>
        </w:rPr>
        <w:t>二是</w:t>
      </w:r>
      <w:r>
        <w:rPr>
          <w:rFonts w:ascii="宋体" w:hAnsi="宋体" w:eastAsia="仿宋_GB2312"/>
          <w:sz w:val="32"/>
          <w:szCs w:val="32"/>
        </w:rPr>
        <w:t>调整企业</w:t>
      </w:r>
      <w:r>
        <w:rPr>
          <w:rFonts w:hint="eastAsia" w:ascii="宋体" w:hAnsi="宋体" w:eastAsia="仿宋_GB2312"/>
          <w:sz w:val="32"/>
          <w:szCs w:val="32"/>
        </w:rPr>
        <w:t>管理体系</w:t>
      </w:r>
      <w:r>
        <w:rPr>
          <w:rFonts w:ascii="宋体" w:hAnsi="宋体" w:eastAsia="仿宋_GB2312"/>
          <w:sz w:val="32"/>
          <w:szCs w:val="32"/>
        </w:rPr>
        <w:t>评价方式，统一纳入绩效评价</w:t>
      </w:r>
      <w:r>
        <w:rPr>
          <w:rFonts w:hint="eastAsia" w:ascii="宋体" w:hAnsi="宋体" w:eastAsia="仿宋_GB2312"/>
          <w:sz w:val="32"/>
          <w:szCs w:val="32"/>
        </w:rPr>
        <w:t>范围</w:t>
      </w:r>
      <w:r>
        <w:rPr>
          <w:rFonts w:ascii="宋体" w:hAnsi="宋体" w:eastAsia="仿宋_GB2312"/>
          <w:sz w:val="32"/>
          <w:szCs w:val="32"/>
        </w:rPr>
        <w:t>，为企业减负</w:t>
      </w:r>
      <w:r>
        <w:rPr>
          <w:rFonts w:hint="eastAsia" w:ascii="宋体" w:hAnsi="宋体" w:eastAsia="仿宋_GB2312"/>
          <w:sz w:val="32"/>
          <w:szCs w:val="32"/>
        </w:rPr>
        <w:t>。</w:t>
      </w:r>
    </w:p>
    <w:p>
      <w:pPr>
        <w:spacing w:line="560" w:lineRule="exact"/>
        <w:ind w:firstLine="642" w:firstLineChars="200"/>
        <w:jc w:val="left"/>
        <w:rPr>
          <w:rFonts w:hint="eastAsia" w:ascii="宋体" w:hAnsi="宋体" w:eastAsia="仿宋_GB2312"/>
          <w:b/>
          <w:bCs/>
          <w:sz w:val="32"/>
          <w:szCs w:val="32"/>
        </w:rPr>
      </w:pPr>
      <w:r>
        <w:rPr>
          <w:rFonts w:hint="eastAsia" w:ascii="宋体" w:hAnsi="宋体" w:eastAsia="仿宋_GB2312"/>
          <w:b/>
          <w:bCs/>
          <w:sz w:val="32"/>
          <w:szCs w:val="32"/>
          <w:shd w:val="clear" w:color="auto" w:fill="FFFFFF"/>
        </w:rPr>
        <w:t>（10）</w:t>
      </w:r>
      <w:r>
        <w:rPr>
          <w:rFonts w:hint="eastAsia" w:ascii="宋体" w:hAnsi="宋体" w:eastAsia="仿宋_GB2312"/>
          <w:b/>
          <w:bCs/>
          <w:sz w:val="32"/>
          <w:szCs w:val="32"/>
        </w:rPr>
        <w:t>持续改进</w:t>
      </w:r>
    </w:p>
    <w:p>
      <w:pPr>
        <w:spacing w:line="560" w:lineRule="exact"/>
        <w:ind w:firstLine="642" w:firstLineChars="200"/>
        <w:jc w:val="left"/>
        <w:rPr>
          <w:rFonts w:hint="eastAsia" w:ascii="宋体" w:hAnsi="宋体" w:eastAsia="仿宋_GB2312"/>
          <w:sz w:val="32"/>
          <w:szCs w:val="32"/>
        </w:rPr>
      </w:pPr>
      <w:r>
        <w:rPr>
          <w:rFonts w:hint="eastAsia" w:ascii="宋体" w:hAnsi="宋体" w:eastAsia="仿宋_GB2312"/>
          <w:b/>
          <w:bCs/>
          <w:sz w:val="32"/>
          <w:szCs w:val="32"/>
        </w:rPr>
        <w:t>要素内容：</w:t>
      </w:r>
      <w:r>
        <w:rPr>
          <w:rFonts w:hint="eastAsia" w:ascii="宋体" w:hAnsi="宋体" w:eastAsia="仿宋_GB2312"/>
          <w:sz w:val="32"/>
          <w:szCs w:val="32"/>
        </w:rPr>
        <w:t>包括事件管理和评审改进2个二级要素。</w:t>
      </w:r>
    </w:p>
    <w:p>
      <w:pPr>
        <w:spacing w:line="560" w:lineRule="exact"/>
        <w:ind w:firstLine="642" w:firstLineChars="200"/>
        <w:jc w:val="left"/>
        <w:rPr>
          <w:rFonts w:hint="eastAsia" w:ascii="宋体" w:hAnsi="宋体"/>
        </w:rPr>
      </w:pPr>
      <w:r>
        <w:rPr>
          <w:rFonts w:hint="eastAsia" w:ascii="宋体" w:hAnsi="宋体" w:eastAsia="仿宋_GB2312"/>
          <w:b/>
          <w:bCs/>
          <w:sz w:val="32"/>
          <w:szCs w:val="32"/>
        </w:rPr>
        <w:t>要素变化：</w:t>
      </w:r>
      <w:r>
        <w:rPr>
          <w:rFonts w:hint="eastAsia" w:ascii="宋体" w:hAnsi="宋体" w:eastAsia="仿宋_GB2312"/>
          <w:bCs/>
          <w:sz w:val="32"/>
          <w:szCs w:val="32"/>
        </w:rPr>
        <w:t>新增“未遂事故”1个三级要素。</w:t>
      </w:r>
    </w:p>
    <w:p>
      <w:pPr>
        <w:widowControl/>
        <w:spacing w:line="560" w:lineRule="exact"/>
        <w:ind w:firstLine="642" w:firstLineChars="200"/>
        <w:rPr>
          <w:rFonts w:hint="eastAsia" w:ascii="宋体" w:hAnsi="宋体" w:eastAsia="仿宋_GB2312"/>
          <w:b/>
          <w:bCs/>
          <w:sz w:val="32"/>
          <w:szCs w:val="32"/>
        </w:rPr>
      </w:pPr>
      <w:r>
        <w:rPr>
          <w:rFonts w:hint="eastAsia" w:ascii="宋体" w:hAnsi="宋体" w:eastAsia="仿宋_GB2312"/>
          <w:b/>
          <w:bCs/>
          <w:sz w:val="32"/>
          <w:szCs w:val="32"/>
        </w:rPr>
        <w:t>要素特点：一是</w:t>
      </w:r>
      <w:r>
        <w:rPr>
          <w:rFonts w:hint="eastAsia" w:ascii="宋体" w:hAnsi="宋体" w:eastAsia="仿宋_GB2312"/>
          <w:bCs/>
          <w:sz w:val="32"/>
          <w:szCs w:val="32"/>
        </w:rPr>
        <w:t>增加未遂事故管理要求，将未遂事故管理提升到与事故管理同等重要的地位，做到抓早抓小，防患于未然；</w:t>
      </w:r>
      <w:r>
        <w:rPr>
          <w:rFonts w:hint="eastAsia" w:ascii="宋体" w:hAnsi="宋体" w:eastAsia="仿宋_GB2312"/>
          <w:b/>
          <w:bCs/>
          <w:sz w:val="32"/>
          <w:szCs w:val="32"/>
        </w:rPr>
        <w:t>二是</w:t>
      </w:r>
      <w:r>
        <w:rPr>
          <w:rFonts w:hint="eastAsia" w:ascii="宋体" w:hAnsi="宋体" w:eastAsia="仿宋_GB2312"/>
          <w:bCs/>
          <w:sz w:val="32"/>
          <w:szCs w:val="32"/>
        </w:rPr>
        <w:t>明确对目标完成、安全风险管控、隐患治理、合规评价等安全生产标准化管理体系评审要求，确保活动措施得到有效落实；</w:t>
      </w:r>
      <w:r>
        <w:rPr>
          <w:rFonts w:hint="eastAsia" w:ascii="宋体" w:hAnsi="宋体" w:eastAsia="仿宋_GB2312"/>
          <w:b/>
          <w:bCs/>
          <w:sz w:val="32"/>
          <w:szCs w:val="32"/>
        </w:rPr>
        <w:t>三是</w:t>
      </w:r>
      <w:r>
        <w:rPr>
          <w:rFonts w:hint="eastAsia" w:ascii="宋体" w:hAnsi="宋体" w:eastAsia="仿宋_GB2312"/>
          <w:bCs/>
          <w:sz w:val="32"/>
          <w:szCs w:val="32"/>
        </w:rPr>
        <w:t>促进企业建立良好的安全生产自我改进机制，形成内驱力，不断提升安全生产标准化管理体系的适宜性、充分性、有效性。</w:t>
      </w:r>
    </w:p>
    <w:p>
      <w:pPr>
        <w:spacing w:line="560" w:lineRule="exact"/>
        <w:ind w:firstLine="640" w:firstLineChars="200"/>
        <w:rPr>
          <w:rFonts w:hint="eastAsia" w:ascii="宋体" w:hAnsi="宋体" w:eastAsia="楷体"/>
          <w:sz w:val="32"/>
          <w:szCs w:val="32"/>
          <w:shd w:val="clear" w:color="auto" w:fill="FFFFFF"/>
        </w:rPr>
      </w:pPr>
      <w:r>
        <w:rPr>
          <w:rFonts w:hint="eastAsia" w:ascii="宋体" w:hAnsi="宋体" w:eastAsia="楷体"/>
          <w:sz w:val="32"/>
          <w:szCs w:val="32"/>
          <w:shd w:val="clear" w:color="auto" w:fill="FFFFFF"/>
        </w:rPr>
        <w:t>（三）标准修订变化及依据</w:t>
      </w:r>
    </w:p>
    <w:p>
      <w:pPr>
        <w:pStyle w:val="55"/>
        <w:spacing w:line="560" w:lineRule="exact"/>
        <w:ind w:firstLine="640"/>
        <w:rPr>
          <w:rFonts w:hint="eastAsia" w:hAnsi="宋体" w:eastAsia="仿宋_GB2312"/>
          <w:bCs/>
          <w:kern w:val="2"/>
          <w:sz w:val="32"/>
          <w:szCs w:val="32"/>
        </w:rPr>
      </w:pPr>
      <w:r>
        <w:rPr>
          <w:rFonts w:hint="eastAsia" w:hAnsi="宋体" w:eastAsia="仿宋_GB2312"/>
          <w:bCs/>
          <w:kern w:val="2"/>
          <w:sz w:val="32"/>
          <w:szCs w:val="32"/>
        </w:rPr>
        <w:t>本文件代替GB/T 33000-2016《企业安全生产标准化基本规范》，与GB/T 33000-2016相比，</w:t>
      </w:r>
      <w:r>
        <w:rPr>
          <w:rFonts w:hint="eastAsia" w:hAnsi="宋体" w:eastAsia="仿宋_GB2312"/>
          <w:bCs/>
          <w:sz w:val="32"/>
          <w:szCs w:val="32"/>
        </w:rPr>
        <w:t>修订变化的条目、内容以及变化的依据和理由详见</w:t>
      </w:r>
      <w:r>
        <w:rPr>
          <w:rFonts w:hint="eastAsia" w:hAnsi="宋体" w:eastAsia="仿宋_GB2312"/>
          <w:bCs/>
          <w:sz w:val="32"/>
          <w:szCs w:val="32"/>
          <w:lang w:eastAsia="zh-CN"/>
        </w:rPr>
        <w:t>附</w:t>
      </w:r>
      <w:r>
        <w:rPr>
          <w:rFonts w:hint="eastAsia" w:hAnsi="宋体" w:eastAsia="仿宋_GB2312"/>
          <w:bCs/>
          <w:sz w:val="32"/>
          <w:szCs w:val="32"/>
        </w:rPr>
        <w:t>。</w:t>
      </w:r>
      <w:r>
        <w:rPr>
          <w:rFonts w:hint="eastAsia" w:hAnsi="宋体" w:eastAsia="仿宋_GB2312"/>
          <w:bCs/>
          <w:kern w:val="2"/>
          <w:sz w:val="32"/>
          <w:szCs w:val="32"/>
        </w:rPr>
        <w:t>除结构调整和编辑性改动外，主要技术变化如下，具体修改内容详见</w:t>
      </w:r>
      <w:r>
        <w:rPr>
          <w:rFonts w:hint="eastAsia" w:hAnsi="宋体" w:eastAsia="仿宋_GB2312"/>
          <w:bCs/>
          <w:kern w:val="2"/>
          <w:sz w:val="32"/>
          <w:szCs w:val="32"/>
          <w:lang w:eastAsia="zh-CN"/>
        </w:rPr>
        <w:t>附</w:t>
      </w:r>
      <w:r>
        <w:rPr>
          <w:rFonts w:hint="eastAsia" w:hAnsi="宋体" w:eastAsia="仿宋_GB2312"/>
          <w:bCs/>
          <w:kern w:val="2"/>
          <w:sz w:val="32"/>
          <w:szCs w:val="32"/>
        </w:rPr>
        <w:t>：</w:t>
      </w:r>
    </w:p>
    <w:p>
      <w:pPr>
        <w:widowControl/>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1.更改了适用范围（见第1章，2016年版的第1章）；</w:t>
      </w:r>
    </w:p>
    <w:p>
      <w:pPr>
        <w:widowControl/>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2.删除了8个术语和定义：企业安全生产标准化、相关方、承包商、供应商、变更管理、安全风险管理、工作场所、作业环境（见2016年版的3.1、3.4、3.5、3.6、3.7、3.10、3.11、3.12）；</w:t>
      </w:r>
    </w:p>
    <w:p>
      <w:pPr>
        <w:widowControl/>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3.更改了5个术语和定义：安全生产绩效、企业主要负责人、安全风险、安全风险评估、持续改进（见3.2、3.3、3.6、3.7、3.11，2016年版的3.2、3.3、3.8、3.9、3.13）；</w:t>
      </w:r>
    </w:p>
    <w:p>
      <w:pPr>
        <w:widowControl/>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4.增加了7个术语和定义：企业安全生产标准化管理体系、业务部门、合规义务、行为观察、不安全行为、异常处置、事件（见3.1、3.4、3.5、3.8、3.9、3.10、3.12）；</w:t>
      </w:r>
    </w:p>
    <w:p>
      <w:pPr>
        <w:widowControl/>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5.增加了领导作用一章（见第4章）；</w:t>
      </w:r>
    </w:p>
    <w:p>
      <w:pPr>
        <w:widowControl/>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6.更改了组织保障中安全生产委员会、安全生产管理机构和班组的要求（见5.1.1、5.1.2、5.1.4，2016年版的5.1.2、5.4.2.3），增加了业务部门的要求（见5.1.3）；</w:t>
      </w:r>
    </w:p>
    <w:p>
      <w:pPr>
        <w:widowControl/>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7.增加了责任保障和科技保障（见5.2、5.5）；</w:t>
      </w:r>
    </w:p>
    <w:p>
      <w:pPr>
        <w:widowControl/>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8.更改了制度保障、资金保障和数智保障的要求（见5.3、5.4、5.6，2016年版的5.2、5.1.4、5.1.6）；</w:t>
      </w:r>
    </w:p>
    <w:p>
      <w:pPr>
        <w:widowControl/>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9.增加了理念、合规管理和信息沟通（见6.1、6.3、6.5），更改了目标和全员参与的要求（见6.2、6.4，2016年版的5.1.1、5.1.3）；</w:t>
      </w:r>
    </w:p>
    <w:p>
      <w:pPr>
        <w:widowControl/>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10.增加了安全风险分级管控的一般要求和风险分级管控效果评价（见7.1、7.4.4）；</w:t>
      </w:r>
    </w:p>
    <w:p>
      <w:pPr>
        <w:widowControl/>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11.更改了危险源辨识、风险评估、风险控制措施和风险告知的要求（见7.2、7.3、7.4.1、7.4.2，2016版的5.5.1.1、5.5.1.2、5.5.1.3）；</w:t>
      </w:r>
    </w:p>
    <w:p>
      <w:pPr>
        <w:widowControl/>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12.增加了隐患排查治理的一般要求（见8.1），更改了隐患排查的相关要求，增加了隐患内部报告及奖励的要求（见8.2，2016版的5.5.3.1）；</w:t>
      </w:r>
    </w:p>
    <w:p>
      <w:pPr>
        <w:widowControl/>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13.增加了人员管理的准入和安全资格（见9.1，9.2），更改了安全培训和行为管控的要求（见9.3、9.4，2016版的5.3.1、5.4.2.2）；</w:t>
      </w:r>
    </w:p>
    <w:p>
      <w:pPr>
        <w:widowControl/>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14.更改了作业环境与条件、设备设施、变更管理和相关方管理的要求（见10.1、10.2、10.5、10.6，2016年版的5.4.2.1、5.4.1、5.5.1.4、5.4.2.4），更改了职业健康和警示标志的要求（见10.1.1，2016年版的5.4.3、5.4.4）；</w:t>
      </w:r>
    </w:p>
    <w:p>
      <w:pPr>
        <w:widowControl/>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15.增加了危险作业、异常处置（见10.3、10.4）；</w:t>
      </w:r>
    </w:p>
    <w:p>
      <w:pPr>
        <w:widowControl/>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16.增加了应急管理的一般要求、应急恢复（见11.1、11.4），更改了应急准备、应急处置与救援的要求（见11.2、11.3、11.4，2016年版的5.6.1、5.6.2）；</w:t>
      </w:r>
    </w:p>
    <w:p>
      <w:pPr>
        <w:widowControl/>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17.增加了安全评价（见12）、安全检查（见12.1），更改了绩效评价的要求（见12.2，2016年版5.8.1）；</w:t>
      </w:r>
    </w:p>
    <w:p>
      <w:pPr>
        <w:widowControl/>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18.更改了事件管理和评审改进提升的要求（见13.1、13.2，2016年版的5.7、5.8.2），增加了未遂事故的要求（见13.1.2）。</w:t>
      </w:r>
    </w:p>
    <w:p>
      <w:pPr>
        <w:widowControl/>
        <w:spacing w:line="560" w:lineRule="exact"/>
        <w:ind w:firstLine="640" w:firstLineChars="200"/>
        <w:outlineLvl w:val="0"/>
        <w:rPr>
          <w:rFonts w:hint="eastAsia" w:ascii="宋体" w:hAnsi="宋体" w:eastAsia="黑体"/>
          <w:sz w:val="32"/>
          <w:szCs w:val="32"/>
        </w:rPr>
      </w:pPr>
      <w:r>
        <w:rPr>
          <w:rFonts w:hint="eastAsia" w:ascii="宋体" w:hAnsi="宋体" w:eastAsia="黑体"/>
          <w:sz w:val="32"/>
          <w:szCs w:val="32"/>
        </w:rPr>
        <w:t>三、试验验证的分析、综述报告、技术经济论证，预期的经济效益、社会效益和生态效益</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本标准</w:t>
      </w:r>
      <w:r>
        <w:rPr>
          <w:rFonts w:ascii="宋体" w:hAnsi="宋体" w:eastAsia="仿宋_GB2312" w:cs="仿宋_GB2312"/>
          <w:sz w:val="32"/>
          <w:szCs w:val="32"/>
        </w:rPr>
        <w:t>实施对企业</w:t>
      </w:r>
      <w:r>
        <w:rPr>
          <w:rFonts w:hint="eastAsia" w:ascii="宋体" w:hAnsi="宋体" w:eastAsia="仿宋_GB2312" w:cs="仿宋_GB2312"/>
          <w:sz w:val="32"/>
          <w:szCs w:val="32"/>
        </w:rPr>
        <w:t>预期</w:t>
      </w:r>
      <w:r>
        <w:rPr>
          <w:rFonts w:ascii="宋体" w:hAnsi="宋体" w:eastAsia="仿宋_GB2312" w:cs="仿宋_GB2312"/>
          <w:sz w:val="32"/>
          <w:szCs w:val="32"/>
        </w:rPr>
        <w:t>的经济效益和社会效益有以下几个方面的影响：</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（一）</w:t>
      </w:r>
      <w:r>
        <w:rPr>
          <w:rFonts w:ascii="宋体" w:hAnsi="宋体" w:eastAsia="仿宋_GB2312" w:cs="仿宋_GB2312"/>
          <w:sz w:val="32"/>
          <w:szCs w:val="32"/>
        </w:rPr>
        <w:t>经济效益</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1.</w:t>
      </w:r>
      <w:r>
        <w:rPr>
          <w:rFonts w:ascii="宋体" w:hAnsi="宋体" w:eastAsia="仿宋_GB2312" w:cs="仿宋_GB2312"/>
          <w:sz w:val="32"/>
          <w:szCs w:val="32"/>
        </w:rPr>
        <w:t>减少事故损失</w:t>
      </w:r>
      <w:r>
        <w:rPr>
          <w:rFonts w:hint="eastAsia" w:ascii="宋体" w:hAnsi="宋体" w:eastAsia="仿宋_GB2312" w:cs="仿宋_GB2312"/>
          <w:sz w:val="32"/>
          <w:szCs w:val="32"/>
        </w:rPr>
        <w:t>。</w:t>
      </w:r>
      <w:r>
        <w:rPr>
          <w:rFonts w:ascii="宋体" w:hAnsi="宋体" w:eastAsia="仿宋_GB2312" w:cs="仿宋_GB2312"/>
          <w:sz w:val="32"/>
          <w:szCs w:val="32"/>
        </w:rPr>
        <w:t>通过提高安全管理水平和员工的安全意识，能够有效降低安全事故的发生率，从而减少因事故导致的人员伤亡、财产损失以及停工停产等经济损失。</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2.</w:t>
      </w:r>
      <w:r>
        <w:rPr>
          <w:rFonts w:ascii="宋体" w:hAnsi="宋体" w:eastAsia="仿宋_GB2312" w:cs="仿宋_GB2312"/>
          <w:sz w:val="32"/>
          <w:szCs w:val="32"/>
        </w:rPr>
        <w:t>提高生产效率</w:t>
      </w:r>
      <w:r>
        <w:rPr>
          <w:rFonts w:hint="eastAsia" w:ascii="宋体" w:hAnsi="宋体" w:eastAsia="仿宋_GB2312" w:cs="仿宋_GB2312"/>
          <w:sz w:val="32"/>
          <w:szCs w:val="32"/>
        </w:rPr>
        <w:t>。本标准</w:t>
      </w:r>
      <w:r>
        <w:rPr>
          <w:rFonts w:ascii="宋体" w:hAnsi="宋体" w:eastAsia="仿宋_GB2312" w:cs="仿宋_GB2312"/>
          <w:sz w:val="32"/>
          <w:szCs w:val="32"/>
        </w:rPr>
        <w:t>要求企业对设备进行定期检查和维护，减少设备故障和停机时间，保障生产的连续性和稳定性，进而提高生产效率。</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3.</w:t>
      </w:r>
      <w:r>
        <w:rPr>
          <w:rFonts w:ascii="宋体" w:hAnsi="宋体" w:eastAsia="仿宋_GB2312" w:cs="仿宋_GB2312"/>
          <w:sz w:val="32"/>
          <w:szCs w:val="32"/>
        </w:rPr>
        <w:t>降低运营成本</w:t>
      </w:r>
      <w:r>
        <w:rPr>
          <w:rFonts w:hint="eastAsia" w:ascii="宋体" w:hAnsi="宋体" w:eastAsia="仿宋_GB2312" w:cs="仿宋_GB2312"/>
          <w:sz w:val="32"/>
          <w:szCs w:val="32"/>
        </w:rPr>
        <w:t>。</w:t>
      </w:r>
      <w:r>
        <w:rPr>
          <w:rFonts w:ascii="宋体" w:hAnsi="宋体" w:eastAsia="仿宋_GB2312" w:cs="仿宋_GB2312"/>
          <w:sz w:val="32"/>
          <w:szCs w:val="32"/>
        </w:rPr>
        <w:t>从长远来看，</w:t>
      </w:r>
      <w:r>
        <w:rPr>
          <w:rFonts w:hint="eastAsia" w:ascii="宋体" w:hAnsi="宋体" w:eastAsia="仿宋_GB2312" w:cs="仿宋_GB2312"/>
          <w:sz w:val="32"/>
          <w:szCs w:val="32"/>
        </w:rPr>
        <w:t>实施本标准可</w:t>
      </w:r>
      <w:r>
        <w:rPr>
          <w:rFonts w:ascii="宋体" w:hAnsi="宋体" w:eastAsia="仿宋_GB2312" w:cs="仿宋_GB2312"/>
          <w:sz w:val="32"/>
          <w:szCs w:val="32"/>
        </w:rPr>
        <w:t>通过减少事故和设备维修成本，企业的整体运营成本会有所下降。</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4.</w:t>
      </w:r>
      <w:r>
        <w:rPr>
          <w:rFonts w:ascii="宋体" w:hAnsi="宋体" w:eastAsia="仿宋_GB2312" w:cs="仿宋_GB2312"/>
          <w:sz w:val="32"/>
          <w:szCs w:val="32"/>
        </w:rPr>
        <w:t>增强市场竞争力</w:t>
      </w:r>
      <w:r>
        <w:rPr>
          <w:rFonts w:hint="eastAsia" w:ascii="宋体" w:hAnsi="宋体" w:eastAsia="仿宋_GB2312" w:cs="仿宋_GB2312"/>
          <w:sz w:val="32"/>
          <w:szCs w:val="32"/>
        </w:rPr>
        <w:t>。</w:t>
      </w:r>
      <w:r>
        <w:rPr>
          <w:rFonts w:ascii="宋体" w:hAnsi="宋体" w:eastAsia="仿宋_GB2312" w:cs="仿宋_GB2312"/>
          <w:sz w:val="32"/>
          <w:szCs w:val="32"/>
        </w:rPr>
        <w:t>能够提升企业的品牌形象和声誉，吸引更多的合作伙伴和客户，增加市场份额</w:t>
      </w:r>
      <w:r>
        <w:rPr>
          <w:rFonts w:ascii="宋体" w:hAnsi="宋体" w:eastAsia="仿宋_GB2312" w:cs="仿宋_GB2312"/>
          <w:sz w:val="32"/>
          <w:szCs w:val="32"/>
          <w:shd w:val="clear" w:color="auto" w:fill="FFFFFF"/>
        </w:rPr>
        <w:t>。</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（二）</w:t>
      </w:r>
      <w:r>
        <w:rPr>
          <w:rFonts w:ascii="宋体" w:hAnsi="宋体" w:eastAsia="仿宋_GB2312" w:cs="仿宋_GB2312"/>
          <w:sz w:val="32"/>
          <w:szCs w:val="32"/>
        </w:rPr>
        <w:t>社会效益</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1.</w:t>
      </w:r>
      <w:r>
        <w:rPr>
          <w:rFonts w:ascii="宋体" w:hAnsi="宋体" w:eastAsia="仿宋_GB2312" w:cs="仿宋_GB2312"/>
          <w:sz w:val="32"/>
          <w:szCs w:val="32"/>
        </w:rPr>
        <w:t>保障员工安全与健康</w:t>
      </w:r>
      <w:r>
        <w:rPr>
          <w:rFonts w:hint="eastAsia" w:ascii="宋体" w:hAnsi="宋体" w:eastAsia="仿宋_GB2312" w:cs="仿宋_GB2312"/>
          <w:sz w:val="32"/>
          <w:szCs w:val="32"/>
        </w:rPr>
        <w:t>。</w:t>
      </w:r>
      <w:r>
        <w:rPr>
          <w:rFonts w:ascii="宋体" w:hAnsi="宋体" w:eastAsia="仿宋_GB2312" w:cs="仿宋_GB2312"/>
          <w:sz w:val="32"/>
          <w:szCs w:val="32"/>
        </w:rPr>
        <w:t>通过规范企业的安全生产行为，减少职业病和工伤事故的发生，保障员工的生命安全和身体健康。</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2.</w:t>
      </w:r>
      <w:r>
        <w:rPr>
          <w:rFonts w:ascii="宋体" w:hAnsi="宋体" w:eastAsia="仿宋_GB2312" w:cs="仿宋_GB2312"/>
          <w:sz w:val="32"/>
          <w:szCs w:val="32"/>
        </w:rPr>
        <w:t>促进社会和谐稳定</w:t>
      </w:r>
      <w:r>
        <w:rPr>
          <w:rFonts w:hint="eastAsia" w:ascii="宋体" w:hAnsi="宋体" w:eastAsia="仿宋_GB2312" w:cs="仿宋_GB2312"/>
          <w:sz w:val="32"/>
          <w:szCs w:val="32"/>
        </w:rPr>
        <w:t>。</w:t>
      </w:r>
      <w:r>
        <w:rPr>
          <w:rFonts w:ascii="宋体" w:hAnsi="宋体" w:eastAsia="仿宋_GB2312" w:cs="仿宋_GB2312"/>
          <w:sz w:val="32"/>
          <w:szCs w:val="32"/>
        </w:rPr>
        <w:t>降低企业安全事故的发生率，减少对社会资源的消耗和对环境的破坏，有利于维护社会稳定和可持续发展。</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3.</w:t>
      </w:r>
      <w:r>
        <w:rPr>
          <w:rFonts w:ascii="宋体" w:hAnsi="宋体" w:eastAsia="仿宋_GB2312" w:cs="仿宋_GB2312"/>
          <w:sz w:val="32"/>
          <w:szCs w:val="32"/>
        </w:rPr>
        <w:t>提升企业社会责任形象</w:t>
      </w:r>
      <w:r>
        <w:rPr>
          <w:rFonts w:hint="eastAsia" w:ascii="宋体" w:hAnsi="宋体" w:eastAsia="仿宋_GB2312" w:cs="仿宋_GB2312"/>
          <w:sz w:val="32"/>
          <w:szCs w:val="32"/>
        </w:rPr>
        <w:t>。</w:t>
      </w:r>
      <w:r>
        <w:rPr>
          <w:rFonts w:ascii="宋体" w:hAnsi="宋体" w:eastAsia="仿宋_GB2312" w:cs="仿宋_GB2312"/>
          <w:sz w:val="32"/>
          <w:szCs w:val="32"/>
        </w:rPr>
        <w:t>企业通过实施安全生产标准化，展现出对员工和社会高度负责的态度，能够赢得社会的广泛认可和尊重。</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4.</w:t>
      </w:r>
      <w:r>
        <w:rPr>
          <w:rFonts w:ascii="宋体" w:hAnsi="宋体" w:eastAsia="仿宋_GB2312" w:cs="仿宋_GB2312"/>
          <w:sz w:val="32"/>
          <w:szCs w:val="32"/>
        </w:rPr>
        <w:t>推动行业</w:t>
      </w:r>
      <w:r>
        <w:rPr>
          <w:rFonts w:hint="eastAsia" w:ascii="宋体" w:hAnsi="宋体" w:eastAsia="仿宋_GB2312" w:cs="仿宋_GB2312"/>
          <w:sz w:val="32"/>
          <w:szCs w:val="32"/>
        </w:rPr>
        <w:t>安全</w:t>
      </w:r>
      <w:r>
        <w:rPr>
          <w:rFonts w:ascii="宋体" w:hAnsi="宋体" w:eastAsia="仿宋_GB2312" w:cs="仿宋_GB2312"/>
          <w:sz w:val="32"/>
          <w:szCs w:val="32"/>
        </w:rPr>
        <w:t>发展</w:t>
      </w:r>
      <w:r>
        <w:rPr>
          <w:rFonts w:hint="eastAsia" w:ascii="宋体" w:hAnsi="宋体" w:eastAsia="仿宋_GB2312" w:cs="仿宋_GB2312"/>
          <w:sz w:val="32"/>
          <w:szCs w:val="32"/>
        </w:rPr>
        <w:t>。</w:t>
      </w:r>
      <w:r>
        <w:rPr>
          <w:rFonts w:ascii="宋体" w:hAnsi="宋体" w:eastAsia="仿宋_GB2312" w:cs="仿宋_GB2312"/>
          <w:sz w:val="32"/>
          <w:szCs w:val="32"/>
        </w:rPr>
        <w:t>作为企业安全生产管理的重要依据，</w:t>
      </w:r>
      <w:r>
        <w:rPr>
          <w:rFonts w:hint="eastAsia" w:ascii="宋体" w:hAnsi="宋体" w:eastAsia="仿宋_GB2312" w:cs="仿宋_GB2312"/>
          <w:sz w:val="32"/>
          <w:szCs w:val="32"/>
        </w:rPr>
        <w:t>本标</w:t>
      </w:r>
      <w:r>
        <w:rPr>
          <w:rFonts w:hint="eastAsia" w:ascii="宋体" w:hAnsi="宋体" w:eastAsia="仿宋_GB2312" w:cs="仿宋_GB2312"/>
          <w:sz w:val="32"/>
          <w:szCs w:val="32"/>
          <w:shd w:val="clear" w:color="auto" w:fill="FFFFFF"/>
          <w:lang w:eastAsia="zh-CN"/>
        </w:rPr>
        <w:t>准的</w:t>
      </w:r>
      <w:r>
        <w:rPr>
          <w:rFonts w:ascii="宋体" w:hAnsi="宋体" w:eastAsia="仿宋_GB2312" w:cs="仿宋_GB2312"/>
          <w:sz w:val="32"/>
          <w:szCs w:val="32"/>
        </w:rPr>
        <w:t>实施能够引导和促进整个行业的安全生产标准化</w:t>
      </w:r>
      <w:r>
        <w:rPr>
          <w:rFonts w:hint="eastAsia" w:ascii="宋体" w:hAnsi="宋体" w:eastAsia="仿宋_GB2312" w:cs="仿宋_GB2312"/>
          <w:sz w:val="32"/>
          <w:szCs w:val="32"/>
        </w:rPr>
        <w:t>管理体系</w:t>
      </w:r>
      <w:r>
        <w:rPr>
          <w:rFonts w:ascii="宋体" w:hAnsi="宋体" w:eastAsia="仿宋_GB2312" w:cs="仿宋_GB2312"/>
          <w:sz w:val="32"/>
          <w:szCs w:val="32"/>
        </w:rPr>
        <w:t>建设，提高行业的整体安全水平</w:t>
      </w:r>
      <w:r>
        <w:rPr>
          <w:rFonts w:hint="eastAsia" w:ascii="宋体" w:hAnsi="宋体" w:eastAsia="仿宋_GB2312" w:cs="仿宋_GB2312"/>
          <w:sz w:val="32"/>
          <w:szCs w:val="32"/>
        </w:rPr>
        <w:t>。</w:t>
      </w:r>
    </w:p>
    <w:p>
      <w:pPr>
        <w:widowControl/>
        <w:numPr>
          <w:ilvl w:val="0"/>
          <w:numId w:val="51"/>
        </w:numPr>
        <w:spacing w:line="560" w:lineRule="exact"/>
        <w:ind w:firstLine="640" w:firstLineChars="200"/>
        <w:outlineLvl w:val="0"/>
        <w:rPr>
          <w:rFonts w:hint="eastAsia" w:ascii="宋体" w:hAnsi="宋体" w:eastAsia="黑体"/>
          <w:sz w:val="32"/>
          <w:szCs w:val="32"/>
        </w:rPr>
      </w:pPr>
      <w:r>
        <w:rPr>
          <w:rFonts w:hint="eastAsia" w:ascii="宋体" w:hAnsi="宋体" w:eastAsia="黑体"/>
          <w:sz w:val="32"/>
          <w:szCs w:val="32"/>
        </w:rPr>
        <w:t>与</w:t>
      </w:r>
      <w:r>
        <w:rPr>
          <w:rFonts w:hint="eastAsia" w:ascii="宋体" w:hAnsi="宋体" w:eastAsia="黑体"/>
          <w:sz w:val="32"/>
          <w:szCs w:val="32"/>
          <w:shd w:val="clear" w:color="auto" w:fill="FFFFFF"/>
        </w:rPr>
        <w:t>国际、国外</w:t>
      </w:r>
      <w:r>
        <w:rPr>
          <w:rFonts w:hint="eastAsia" w:ascii="宋体" w:hAnsi="宋体" w:eastAsia="黑体"/>
          <w:sz w:val="32"/>
          <w:szCs w:val="32"/>
        </w:rPr>
        <w:t>同类标准技术内容的对比情况</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国际上现行的是ISO45001职业健康安全管理体系，2020年国内根据国外的ISO45001职业健康安全管理体系翻译编写了《职业健康安全管理体系―要求及使用指南》（GB/T 45001-2020），但职业健康安全管理体系在国内企业的适用性上存在较多的问题，因此国内一直在探索适用于本国企业的安全管理体系，从2004年开始提出安全生产标准化的概念，2010年《企业安全生产标准化基本规范》（AQ/T 9006-2010）作为行业标准发布，2016年重新修订本标准且作为国家标准发布，即《企业安全生产标准化基本规范》（GB/T 33000-2016）。</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本标准在2022年启动修改，修改中对《职业健康安全管理体系―要求及使用指南》（GB/T 45001-2020）进行充分研究，在其PDCA运行模式的基础上，重点增加了L（领导）；为保障管理体系要素之间的动态衔接、适应匹配，以组织、责任、制度、资金、科技和数智等全过程全方位为支持，增加了S（支持），构建了LS-PDCA（领导</w:t>
      </w:r>
      <w:r>
        <w:rPr>
          <w:rFonts w:ascii="宋体" w:hAnsi="宋体" w:eastAsia="仿宋_GB2312" w:cs="仿宋_GB2312"/>
          <w:sz w:val="32"/>
          <w:szCs w:val="32"/>
        </w:rPr>
        <w:t>-</w:t>
      </w:r>
      <w:r>
        <w:rPr>
          <w:rFonts w:hint="eastAsia" w:ascii="宋体" w:hAnsi="宋体" w:eastAsia="仿宋_GB2312" w:cs="仿宋_GB2312"/>
          <w:sz w:val="32"/>
          <w:szCs w:val="32"/>
        </w:rPr>
        <w:t>支持-策划-实施-检查-改进）运行模式，标准内容充分借鉴相关要求，并综合考虑中国特色的安全生产管理理念和方法、法规政策的新要求、新变化，充分体现安全生产管理系统思维。</w:t>
      </w:r>
    </w:p>
    <w:p>
      <w:pPr>
        <w:widowControl/>
        <w:numPr>
          <w:ilvl w:val="0"/>
          <w:numId w:val="51"/>
        </w:numPr>
        <w:spacing w:line="560" w:lineRule="exact"/>
        <w:ind w:firstLine="640" w:firstLineChars="200"/>
        <w:outlineLvl w:val="0"/>
        <w:rPr>
          <w:rFonts w:hint="eastAsia" w:ascii="宋体" w:hAnsi="宋体" w:eastAsia="黑体"/>
          <w:sz w:val="32"/>
          <w:szCs w:val="32"/>
        </w:rPr>
      </w:pPr>
      <w:r>
        <w:rPr>
          <w:rFonts w:hint="eastAsia" w:ascii="宋体" w:hAnsi="宋体" w:eastAsia="黑体"/>
          <w:sz w:val="32"/>
          <w:szCs w:val="32"/>
        </w:rPr>
        <w:t>以国际标准为基础的起草情况、是否合规引用或采用国际国外标准以及未采用国际标准的原因</w:t>
      </w:r>
    </w:p>
    <w:p>
      <w:pPr>
        <w:spacing w:line="560" w:lineRule="exact"/>
        <w:ind w:firstLine="640" w:firstLineChars="200"/>
        <w:rPr>
          <w:rFonts w:hint="eastAsia" w:ascii="宋体" w:hAnsi="宋体" w:eastAsia="仿宋_GB2312"/>
          <w:i/>
          <w:iCs/>
          <w:color w:val="FF0000"/>
          <w:sz w:val="32"/>
          <w:szCs w:val="32"/>
          <w:shd w:val="clear" w:color="auto" w:fill="FFFFFF"/>
        </w:rPr>
      </w:pPr>
      <w:r>
        <w:rPr>
          <w:rFonts w:hint="eastAsia" w:ascii="宋体" w:hAnsi="宋体" w:eastAsia="仿宋_GB2312" w:cs="仿宋_GB2312"/>
          <w:sz w:val="32"/>
          <w:szCs w:val="32"/>
        </w:rPr>
        <w:t>无</w:t>
      </w:r>
    </w:p>
    <w:p>
      <w:pPr>
        <w:widowControl/>
        <w:numPr>
          <w:ilvl w:val="0"/>
          <w:numId w:val="51"/>
        </w:numPr>
        <w:spacing w:line="560" w:lineRule="exact"/>
        <w:ind w:firstLine="640" w:firstLineChars="200"/>
        <w:outlineLvl w:val="0"/>
        <w:rPr>
          <w:rFonts w:hint="eastAsia" w:ascii="宋体" w:hAnsi="宋体" w:eastAsia="黑体"/>
          <w:sz w:val="32"/>
          <w:szCs w:val="32"/>
        </w:rPr>
      </w:pPr>
      <w:r>
        <w:rPr>
          <w:rFonts w:hint="eastAsia" w:ascii="宋体" w:hAnsi="宋体" w:eastAsia="黑体"/>
          <w:sz w:val="32"/>
          <w:szCs w:val="32"/>
        </w:rPr>
        <w:t>与有关法律、行政法规及相关标准水平的关系</w:t>
      </w:r>
    </w:p>
    <w:p>
      <w:pPr>
        <w:spacing w:line="560" w:lineRule="exact"/>
        <w:ind w:firstLine="640" w:firstLineChars="200"/>
        <w:rPr>
          <w:rFonts w:hint="eastAsia" w:ascii="宋体" w:hAnsi="宋体" w:eastAsia="仿宋_GB2312"/>
          <w:sz w:val="32"/>
          <w:szCs w:val="32"/>
        </w:rPr>
      </w:pPr>
      <w:r>
        <w:rPr>
          <w:rFonts w:hint="eastAsia" w:ascii="宋体" w:hAnsi="宋体" w:eastAsia="仿宋_GB2312"/>
          <w:sz w:val="32"/>
          <w:szCs w:val="32"/>
        </w:rPr>
        <w:t>《中华人民共和国安全生产法》（</w:t>
      </w:r>
      <w:r>
        <w:rPr>
          <w:rFonts w:ascii="宋体" w:hAnsi="宋体" w:eastAsia="仿宋_GB2312"/>
          <w:sz w:val="32"/>
          <w:szCs w:val="32"/>
        </w:rPr>
        <w:t>2021</w:t>
      </w:r>
      <w:r>
        <w:rPr>
          <w:rFonts w:hint="eastAsia" w:ascii="宋体" w:hAnsi="宋体" w:eastAsia="仿宋_GB2312"/>
          <w:sz w:val="32"/>
          <w:szCs w:val="32"/>
        </w:rPr>
        <w:t>年版）要求生产经营单位必须“加强安全生产标准化建设”。</w:t>
      </w:r>
    </w:p>
    <w:p>
      <w:pPr>
        <w:spacing w:line="560" w:lineRule="exact"/>
        <w:ind w:firstLine="640" w:firstLineChars="200"/>
        <w:rPr>
          <w:rFonts w:hint="eastAsia" w:ascii="宋体" w:hAnsi="宋体" w:eastAsia="仿宋_GB2312"/>
          <w:sz w:val="32"/>
          <w:szCs w:val="32"/>
        </w:rPr>
      </w:pPr>
      <w:r>
        <w:rPr>
          <w:rFonts w:ascii="宋体" w:hAnsi="宋体" w:eastAsia="仿宋_GB2312"/>
          <w:sz w:val="32"/>
          <w:szCs w:val="32"/>
        </w:rPr>
        <w:t>2024年1月，国务院</w:t>
      </w:r>
      <w:r>
        <w:rPr>
          <w:rFonts w:hint="eastAsia" w:ascii="宋体" w:hAnsi="宋体" w:eastAsia="仿宋_GB2312"/>
          <w:sz w:val="32"/>
          <w:szCs w:val="32"/>
        </w:rPr>
        <w:t>安全生产委员会</w:t>
      </w:r>
      <w:r>
        <w:rPr>
          <w:rFonts w:ascii="宋体" w:hAnsi="宋体" w:eastAsia="仿宋_GB2312"/>
          <w:sz w:val="32"/>
          <w:szCs w:val="32"/>
        </w:rPr>
        <w:t>印发的《安全生产治本攻坚</w:t>
      </w:r>
      <w:r>
        <w:rPr>
          <w:rFonts w:ascii="宋体" w:hAnsi="宋体" w:eastAsia="仿宋_GB2312"/>
          <w:sz w:val="32"/>
          <w:szCs w:val="32"/>
          <w:shd w:val="clear" w:color="auto" w:fill="FFFFFF"/>
        </w:rPr>
        <w:t>三年</w:t>
      </w:r>
      <w:r>
        <w:rPr>
          <w:rFonts w:ascii="宋体" w:hAnsi="宋体" w:eastAsia="仿宋_GB2312"/>
          <w:sz w:val="32"/>
          <w:szCs w:val="32"/>
        </w:rPr>
        <w:t>行动方案（2024-2026）》，将</w:t>
      </w:r>
      <w:r>
        <w:rPr>
          <w:rFonts w:hint="eastAsia" w:ascii="宋体" w:hAnsi="宋体" w:eastAsia="仿宋_GB2312"/>
          <w:sz w:val="32"/>
          <w:szCs w:val="32"/>
        </w:rPr>
        <w:t>“</w:t>
      </w:r>
      <w:r>
        <w:rPr>
          <w:rFonts w:ascii="宋体" w:hAnsi="宋体" w:eastAsia="仿宋_GB2312"/>
          <w:sz w:val="32"/>
          <w:szCs w:val="32"/>
        </w:rPr>
        <w:t>开展安全管理体系建设行动</w:t>
      </w:r>
      <w:r>
        <w:rPr>
          <w:rFonts w:hint="eastAsia" w:ascii="宋体" w:hAnsi="宋体" w:eastAsia="仿宋_GB2312"/>
          <w:sz w:val="32"/>
          <w:szCs w:val="32"/>
        </w:rPr>
        <w:t>”</w:t>
      </w:r>
      <w:r>
        <w:rPr>
          <w:rFonts w:ascii="宋体" w:hAnsi="宋体" w:eastAsia="仿宋_GB2312"/>
          <w:sz w:val="32"/>
          <w:szCs w:val="32"/>
        </w:rPr>
        <w:t>列为</w:t>
      </w:r>
      <w:r>
        <w:rPr>
          <w:rFonts w:hint="eastAsia" w:ascii="宋体" w:hAnsi="宋体" w:eastAsia="仿宋_GB2312"/>
          <w:sz w:val="32"/>
          <w:szCs w:val="32"/>
        </w:rPr>
        <w:t>安全生产</w:t>
      </w:r>
      <w:r>
        <w:rPr>
          <w:rFonts w:ascii="宋体" w:hAnsi="宋体" w:eastAsia="仿宋_GB2312"/>
          <w:sz w:val="32"/>
          <w:szCs w:val="32"/>
        </w:rPr>
        <w:t>治本攻坚</w:t>
      </w:r>
      <w:r>
        <w:rPr>
          <w:rFonts w:hint="eastAsia" w:ascii="宋体" w:hAnsi="宋体" w:eastAsia="仿宋_GB2312"/>
          <w:sz w:val="32"/>
          <w:szCs w:val="32"/>
        </w:rPr>
        <w:t>“</w:t>
      </w:r>
      <w:r>
        <w:rPr>
          <w:rFonts w:ascii="宋体" w:hAnsi="宋体" w:eastAsia="仿宋_GB2312"/>
          <w:sz w:val="32"/>
          <w:szCs w:val="32"/>
        </w:rPr>
        <w:t>八大行动</w:t>
      </w:r>
      <w:r>
        <w:rPr>
          <w:rFonts w:hint="eastAsia" w:ascii="宋体" w:hAnsi="宋体" w:eastAsia="仿宋_GB2312"/>
          <w:sz w:val="32"/>
          <w:szCs w:val="32"/>
        </w:rPr>
        <w:t>”</w:t>
      </w:r>
      <w:r>
        <w:rPr>
          <w:rFonts w:ascii="宋体" w:hAnsi="宋体" w:eastAsia="仿宋_GB2312"/>
          <w:sz w:val="32"/>
          <w:szCs w:val="32"/>
        </w:rPr>
        <w:t>之一，要求</w:t>
      </w:r>
      <w:r>
        <w:rPr>
          <w:rFonts w:hint="eastAsia" w:ascii="宋体" w:hAnsi="宋体" w:eastAsia="仿宋_GB2312"/>
          <w:sz w:val="32"/>
          <w:szCs w:val="32"/>
        </w:rPr>
        <w:t>生产经营单位“</w:t>
      </w:r>
      <w:r>
        <w:rPr>
          <w:rFonts w:ascii="宋体" w:hAnsi="宋体" w:eastAsia="仿宋_GB2312"/>
          <w:sz w:val="32"/>
          <w:szCs w:val="32"/>
        </w:rPr>
        <w:t>结合国际通用的安全管理体系经验做法，2024年试点建设中国特色的安全生产管理体系标准</w:t>
      </w:r>
      <w:r>
        <w:rPr>
          <w:rFonts w:hint="eastAsia" w:ascii="宋体" w:hAnsi="宋体" w:eastAsia="仿宋_GB2312"/>
          <w:sz w:val="32"/>
          <w:szCs w:val="32"/>
        </w:rPr>
        <w:t>”</w:t>
      </w:r>
      <w:r>
        <w:rPr>
          <w:rFonts w:ascii="宋体" w:hAnsi="宋体" w:eastAsia="仿宋_GB2312"/>
          <w:sz w:val="32"/>
          <w:szCs w:val="32"/>
        </w:rPr>
        <w:t>。</w:t>
      </w:r>
    </w:p>
    <w:p>
      <w:pPr>
        <w:spacing w:line="560" w:lineRule="exact"/>
        <w:ind w:firstLine="640" w:firstLineChars="200"/>
        <w:rPr>
          <w:rFonts w:hint="eastAsia" w:ascii="宋体" w:hAnsi="宋体" w:eastAsia="仿宋_GB2312"/>
          <w:i/>
          <w:iCs/>
          <w:color w:val="FF0000"/>
          <w:sz w:val="32"/>
          <w:szCs w:val="32"/>
          <w:shd w:val="clear" w:color="auto" w:fill="FFFFFF"/>
        </w:rPr>
      </w:pPr>
      <w:r>
        <w:rPr>
          <w:rFonts w:hint="eastAsia" w:ascii="宋体" w:hAnsi="宋体" w:eastAsia="仿宋_GB2312"/>
          <w:sz w:val="32"/>
          <w:szCs w:val="32"/>
        </w:rPr>
        <w:t>国务院国资委新修订的</w:t>
      </w:r>
      <w:r>
        <w:rPr>
          <w:rFonts w:ascii="宋体" w:hAnsi="宋体" w:eastAsia="仿宋_GB2312"/>
          <w:sz w:val="32"/>
          <w:szCs w:val="32"/>
        </w:rPr>
        <w:t>《中央企业安全生产监督管理办法》</w:t>
      </w:r>
      <w:r>
        <w:rPr>
          <w:rFonts w:hint="eastAsia" w:ascii="宋体" w:hAnsi="宋体" w:eastAsia="仿宋_GB2312"/>
          <w:sz w:val="32"/>
          <w:szCs w:val="32"/>
        </w:rPr>
        <w:t>，明确要求“中央企业应当建立健全安全生产管理体系，积极学习借鉴和推行应用国内外先进的安全生产管理方式方法等，与企业具体实际和企业优秀文化相结合，实现安全生产管理的系统化、规范化、标准化、科学化、现代化”</w:t>
      </w:r>
    </w:p>
    <w:p>
      <w:pPr>
        <w:widowControl/>
        <w:numPr>
          <w:ilvl w:val="0"/>
          <w:numId w:val="51"/>
        </w:numPr>
        <w:spacing w:line="560" w:lineRule="exact"/>
        <w:ind w:firstLine="640" w:firstLineChars="200"/>
        <w:outlineLvl w:val="0"/>
        <w:rPr>
          <w:rFonts w:hint="eastAsia" w:ascii="宋体" w:hAnsi="宋体" w:eastAsia="黑体"/>
          <w:sz w:val="32"/>
          <w:szCs w:val="32"/>
        </w:rPr>
      </w:pPr>
      <w:r>
        <w:rPr>
          <w:rFonts w:hint="eastAsia" w:ascii="宋体" w:hAnsi="宋体" w:eastAsia="黑体"/>
          <w:sz w:val="32"/>
          <w:szCs w:val="32"/>
        </w:rPr>
        <w:t>重大分歧意见的处理过程及依据</w:t>
      </w:r>
    </w:p>
    <w:p>
      <w:pPr>
        <w:adjustRightInd/>
        <w:spacing w:line="560" w:lineRule="exact"/>
        <w:ind w:firstLine="640" w:firstLineChars="200"/>
        <w:rPr>
          <w:rFonts w:hint="eastAsia" w:ascii="宋体" w:hAnsi="宋体" w:eastAsia="仿宋_GB2312"/>
          <w:i/>
          <w:iCs/>
          <w:color w:val="FF0000"/>
          <w:sz w:val="32"/>
          <w:szCs w:val="32"/>
          <w:shd w:val="clear" w:color="auto" w:fill="FFFFFF"/>
        </w:rPr>
      </w:pPr>
      <w:r>
        <w:rPr>
          <w:rFonts w:hint="eastAsia" w:ascii="宋体" w:hAnsi="宋体" w:eastAsia="仿宋_GB2312" w:cs="仿宋_GB2312"/>
          <w:sz w:val="32"/>
          <w:szCs w:val="32"/>
        </w:rPr>
        <w:t>无</w:t>
      </w:r>
    </w:p>
    <w:p>
      <w:pPr>
        <w:widowControl/>
        <w:numPr>
          <w:ilvl w:val="0"/>
          <w:numId w:val="51"/>
        </w:numPr>
        <w:spacing w:line="560" w:lineRule="exact"/>
        <w:ind w:firstLine="640" w:firstLineChars="200"/>
        <w:outlineLvl w:val="0"/>
        <w:rPr>
          <w:rFonts w:hint="eastAsia" w:ascii="宋体" w:hAnsi="宋体" w:eastAsia="黑体"/>
          <w:sz w:val="32"/>
          <w:szCs w:val="32"/>
        </w:rPr>
      </w:pPr>
      <w:r>
        <w:rPr>
          <w:rFonts w:hint="eastAsia" w:ascii="宋体" w:hAnsi="宋体" w:eastAsia="黑体"/>
          <w:sz w:val="32"/>
          <w:szCs w:val="32"/>
        </w:rPr>
        <w:t>作为强制性标准或推荐性标准的建议及理由</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强制性国家标准管理办法》规定，强制性国家标准应当有明确的标准实施监督管理部门，并能够依据法律、行政法规、部门规章的规定对违反强制性国家标准的行为予以处理；强制性国家标准的技术要求应当全部强制，并且可验证、可操作。本标准主要为引导性内容，健全企业安全管理体系，不能实现全部强制并作为依据进行处罚，根据《</w:t>
      </w:r>
      <w:r>
        <w:rPr>
          <w:rFonts w:hint="eastAsia" w:ascii="宋体" w:hAnsi="宋体" w:eastAsia="仿宋_GB2312" w:cs="仿宋_GB2312"/>
          <w:sz w:val="32"/>
          <w:szCs w:val="32"/>
          <w:shd w:val="clear" w:color="auto" w:fill="FFFFFF"/>
        </w:rPr>
        <w:t>中华人民共和国标准化法</w:t>
      </w:r>
      <w:r>
        <w:rPr>
          <w:rFonts w:hint="eastAsia" w:ascii="宋体" w:hAnsi="宋体" w:eastAsia="仿宋_GB2312" w:cs="仿宋_GB2312"/>
          <w:sz w:val="32"/>
          <w:szCs w:val="32"/>
        </w:rPr>
        <w:t>》和《强制性国家标准管理办法》，参考其他行业领域管理体系国家标准的性质，并结合本标准的定位和内容，确定本标准性质</w:t>
      </w:r>
      <w:r>
        <w:rPr>
          <w:rFonts w:hint="eastAsia" w:ascii="宋体" w:hAnsi="宋体" w:eastAsia="仿宋_GB2312" w:cs="仿宋_GB2312"/>
          <w:sz w:val="32"/>
          <w:szCs w:val="32"/>
          <w:shd w:val="clear" w:color="auto" w:fill="FFFFFF"/>
          <w:lang w:eastAsia="zh-CN"/>
        </w:rPr>
        <w:t>为</w:t>
      </w:r>
      <w:r>
        <w:rPr>
          <w:rFonts w:hint="eastAsia" w:ascii="宋体" w:hAnsi="宋体" w:eastAsia="仿宋_GB2312" w:cs="仿宋_GB2312"/>
          <w:sz w:val="32"/>
          <w:szCs w:val="32"/>
        </w:rPr>
        <w:t>推荐性国家标准。</w:t>
      </w:r>
    </w:p>
    <w:p>
      <w:pPr>
        <w:widowControl/>
        <w:numPr>
          <w:ilvl w:val="0"/>
          <w:numId w:val="51"/>
        </w:numPr>
        <w:spacing w:line="560" w:lineRule="exact"/>
        <w:ind w:firstLine="640" w:firstLineChars="200"/>
        <w:outlineLvl w:val="0"/>
        <w:rPr>
          <w:rFonts w:hint="eastAsia" w:ascii="宋体" w:hAnsi="宋体" w:eastAsia="黑体"/>
          <w:sz w:val="32"/>
          <w:szCs w:val="32"/>
        </w:rPr>
      </w:pPr>
      <w:r>
        <w:rPr>
          <w:rFonts w:hint="eastAsia" w:ascii="宋体" w:hAnsi="宋体" w:eastAsia="黑体"/>
          <w:sz w:val="32"/>
          <w:szCs w:val="32"/>
        </w:rPr>
        <w:t>标准自发布日期至实施日期的过渡期建议及理由</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标准发布后立即实施。本标准为指导大中型企业安全生产标准化管理体系建设的推荐性标准，不涉及设备设施更新、改造等过渡适用，可发布后立即实施。</w:t>
      </w:r>
    </w:p>
    <w:p>
      <w:pPr>
        <w:widowControl/>
        <w:numPr>
          <w:ilvl w:val="0"/>
          <w:numId w:val="51"/>
        </w:numPr>
        <w:spacing w:line="560" w:lineRule="exact"/>
        <w:ind w:firstLine="640" w:firstLineChars="200"/>
        <w:outlineLvl w:val="0"/>
        <w:rPr>
          <w:rFonts w:hint="eastAsia" w:ascii="宋体" w:hAnsi="宋体" w:eastAsia="黑体"/>
          <w:sz w:val="32"/>
          <w:szCs w:val="32"/>
        </w:rPr>
      </w:pPr>
      <w:r>
        <w:rPr>
          <w:rFonts w:hint="eastAsia" w:ascii="宋体" w:hAnsi="宋体" w:eastAsia="黑体"/>
          <w:sz w:val="32"/>
          <w:szCs w:val="32"/>
        </w:rPr>
        <w:t>与实施标准有关的政策措施</w:t>
      </w:r>
    </w:p>
    <w:p>
      <w:pPr>
        <w:spacing w:line="560" w:lineRule="exact"/>
        <w:ind w:firstLine="640" w:firstLineChars="200"/>
        <w:rPr>
          <w:rFonts w:hint="eastAsia" w:ascii="宋体" w:hAnsi="宋体" w:eastAsia="仿宋_GB2312"/>
          <w:i/>
          <w:iCs/>
          <w:color w:val="FF0000"/>
          <w:sz w:val="32"/>
          <w:szCs w:val="32"/>
          <w:shd w:val="clear" w:color="auto" w:fill="FFFFFF"/>
        </w:rPr>
      </w:pPr>
      <w:r>
        <w:rPr>
          <w:rFonts w:hint="eastAsia" w:ascii="宋体" w:hAnsi="宋体" w:eastAsia="仿宋_GB2312"/>
          <w:sz w:val="32"/>
          <w:szCs w:val="32"/>
          <w:shd w:val="clear" w:color="auto" w:fill="FFFFFF"/>
        </w:rPr>
        <w:t>本标准作为</w:t>
      </w:r>
      <w:r>
        <w:rPr>
          <w:rFonts w:hint="eastAsia" w:ascii="宋体" w:hAnsi="宋体" w:eastAsia="仿宋_GB2312" w:cs="仿宋_GB2312"/>
          <w:sz w:val="32"/>
          <w:szCs w:val="32"/>
        </w:rPr>
        <w:t>指导大中型企业安全生产标准化管理体系建设的推荐性标准</w:t>
      </w:r>
      <w:r>
        <w:rPr>
          <w:rFonts w:hint="eastAsia" w:ascii="宋体" w:hAnsi="宋体" w:eastAsia="仿宋_GB2312"/>
          <w:sz w:val="32"/>
          <w:szCs w:val="32"/>
        </w:rPr>
        <w:t>，应广泛</w:t>
      </w:r>
      <w:r>
        <w:rPr>
          <w:rFonts w:hint="eastAsia" w:ascii="宋体" w:hAnsi="宋体" w:eastAsia="仿宋_GB2312"/>
          <w:sz w:val="32"/>
          <w:szCs w:val="32"/>
          <w:shd w:val="clear" w:color="auto" w:fill="FFFFFF"/>
        </w:rPr>
        <w:t>进行</w:t>
      </w:r>
      <w:r>
        <w:rPr>
          <w:rFonts w:hint="eastAsia" w:ascii="宋体" w:hAnsi="宋体" w:eastAsia="仿宋_GB2312"/>
          <w:sz w:val="32"/>
          <w:szCs w:val="32"/>
        </w:rPr>
        <w:t>宣贯解读。</w:t>
      </w:r>
    </w:p>
    <w:p>
      <w:pPr>
        <w:widowControl/>
        <w:numPr>
          <w:ilvl w:val="0"/>
          <w:numId w:val="51"/>
        </w:numPr>
        <w:spacing w:line="560" w:lineRule="exact"/>
        <w:ind w:firstLine="640" w:firstLineChars="200"/>
        <w:outlineLvl w:val="0"/>
        <w:rPr>
          <w:rFonts w:hint="eastAsia" w:ascii="宋体" w:hAnsi="宋体" w:eastAsia="黑体"/>
          <w:sz w:val="32"/>
          <w:szCs w:val="32"/>
        </w:rPr>
      </w:pPr>
      <w:r>
        <w:rPr>
          <w:rFonts w:hint="eastAsia" w:ascii="宋体" w:hAnsi="宋体" w:eastAsia="黑体"/>
          <w:sz w:val="32"/>
          <w:szCs w:val="32"/>
        </w:rPr>
        <w:t>是否需要对外通报的建议及理由。</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本标准不需要对外通报，不涉及对外贸易。</w:t>
      </w:r>
    </w:p>
    <w:p>
      <w:pPr>
        <w:widowControl/>
        <w:numPr>
          <w:ilvl w:val="0"/>
          <w:numId w:val="51"/>
        </w:numPr>
        <w:spacing w:line="560" w:lineRule="exact"/>
        <w:ind w:firstLine="640" w:firstLineChars="200"/>
        <w:outlineLvl w:val="0"/>
        <w:rPr>
          <w:rFonts w:hint="eastAsia" w:ascii="宋体" w:hAnsi="宋体" w:eastAsia="黑体"/>
          <w:sz w:val="32"/>
          <w:szCs w:val="32"/>
        </w:rPr>
      </w:pPr>
      <w:r>
        <w:rPr>
          <w:rFonts w:ascii="宋体" w:hAnsi="宋体" w:eastAsia="黑体"/>
          <w:sz w:val="32"/>
          <w:szCs w:val="32"/>
        </w:rPr>
        <w:t>废止现行有关标准的建议</w:t>
      </w:r>
    </w:p>
    <w:p>
      <w:pPr>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发布时代替《企业安全生产标准化基本规范》（GB/T 33000-2016）和《安全管理体系要求》(GB/T 43500-2023)。</w:t>
      </w:r>
    </w:p>
    <w:p>
      <w:pPr>
        <w:widowControl/>
        <w:numPr>
          <w:ilvl w:val="0"/>
          <w:numId w:val="51"/>
        </w:numPr>
        <w:spacing w:line="560" w:lineRule="exact"/>
        <w:ind w:firstLine="640" w:firstLineChars="200"/>
        <w:outlineLvl w:val="0"/>
        <w:rPr>
          <w:rFonts w:hint="eastAsia" w:ascii="宋体" w:hAnsi="宋体" w:eastAsia="黑体"/>
          <w:sz w:val="32"/>
          <w:szCs w:val="32"/>
        </w:rPr>
      </w:pPr>
      <w:r>
        <w:rPr>
          <w:rFonts w:hint="eastAsia" w:ascii="宋体" w:hAnsi="宋体" w:eastAsia="黑体"/>
          <w:sz w:val="32"/>
          <w:szCs w:val="32"/>
        </w:rPr>
        <w:t>涉及专利的有关说明</w:t>
      </w:r>
    </w:p>
    <w:p>
      <w:pPr>
        <w:adjustRightInd/>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无</w:t>
      </w:r>
    </w:p>
    <w:p>
      <w:pPr>
        <w:widowControl/>
        <w:numPr>
          <w:ilvl w:val="0"/>
          <w:numId w:val="51"/>
        </w:numPr>
        <w:spacing w:line="560" w:lineRule="exact"/>
        <w:ind w:firstLine="640" w:firstLineChars="200"/>
        <w:outlineLvl w:val="0"/>
        <w:rPr>
          <w:rFonts w:hint="eastAsia" w:ascii="宋体" w:hAnsi="宋体" w:eastAsia="黑体"/>
          <w:sz w:val="32"/>
          <w:szCs w:val="32"/>
        </w:rPr>
      </w:pPr>
      <w:r>
        <w:rPr>
          <w:rFonts w:hint="eastAsia" w:ascii="宋体" w:hAnsi="宋体" w:eastAsia="黑体"/>
          <w:sz w:val="32"/>
          <w:szCs w:val="32"/>
        </w:rPr>
        <w:t>标准所涉及的产品、过程或者服务目录</w:t>
      </w:r>
    </w:p>
    <w:p>
      <w:pPr>
        <w:adjustRightInd/>
        <w:spacing w:line="560" w:lineRule="exact"/>
        <w:ind w:firstLine="640" w:firstLineChars="200"/>
        <w:rPr>
          <w:rFonts w:hint="eastAsia" w:ascii="宋体" w:hAnsi="宋体" w:eastAsia="仿宋_GB2312" w:cs="仿宋_GB2312"/>
          <w:sz w:val="32"/>
          <w:szCs w:val="32"/>
        </w:rPr>
      </w:pPr>
      <w:r>
        <w:rPr>
          <w:rFonts w:hint="eastAsia" w:ascii="宋体" w:hAnsi="宋体" w:eastAsia="仿宋_GB2312" w:cs="仿宋_GB2312"/>
          <w:sz w:val="32"/>
          <w:szCs w:val="32"/>
        </w:rPr>
        <w:t>本标准涉及大中型企业安全生产标准化管理体系的建立、实施、保持和持续改进的过程。</w:t>
      </w:r>
    </w:p>
    <w:p>
      <w:pPr>
        <w:widowControl/>
        <w:numPr>
          <w:ilvl w:val="0"/>
          <w:numId w:val="51"/>
        </w:numPr>
        <w:spacing w:line="560" w:lineRule="exact"/>
        <w:ind w:firstLine="640" w:firstLineChars="200"/>
        <w:outlineLvl w:val="0"/>
        <w:rPr>
          <w:rFonts w:hint="eastAsia" w:ascii="宋体" w:hAnsi="宋体" w:eastAsia="黑体"/>
          <w:sz w:val="32"/>
          <w:szCs w:val="32"/>
        </w:rPr>
      </w:pPr>
      <w:r>
        <w:rPr>
          <w:rFonts w:hint="eastAsia" w:ascii="宋体" w:hAnsi="宋体" w:eastAsia="黑体"/>
          <w:sz w:val="32"/>
          <w:szCs w:val="32"/>
        </w:rPr>
        <w:t>其他</w:t>
      </w:r>
      <w:r>
        <w:rPr>
          <w:rFonts w:ascii="宋体" w:hAnsi="宋体" w:eastAsia="黑体"/>
          <w:sz w:val="32"/>
          <w:szCs w:val="32"/>
        </w:rPr>
        <w:t>应予以说明的事项</w:t>
      </w:r>
    </w:p>
    <w:p>
      <w:pPr>
        <w:adjustRightInd/>
        <w:spacing w:line="560" w:lineRule="exact"/>
        <w:ind w:firstLine="640" w:firstLineChars="200"/>
        <w:rPr>
          <w:rFonts w:hint="eastAsia" w:ascii="宋体" w:hAnsi="宋体" w:eastAsia="仿宋_GB2312" w:cs="仿宋_GB2312"/>
          <w:sz w:val="32"/>
          <w:szCs w:val="32"/>
        </w:rPr>
        <w:sectPr>
          <w:footerReference r:id="rId15" w:type="default"/>
          <w:pgSz w:w="11906" w:h="16838"/>
          <w:pgMar w:top="1440" w:right="1800" w:bottom="1440" w:left="1800" w:header="851" w:footer="992" w:gutter="0"/>
          <w:pgNumType w:fmt="numberInDash" w:start="1"/>
          <w:cols w:space="720" w:num="1"/>
          <w:docGrid w:type="lines" w:linePitch="312" w:charSpace="0"/>
        </w:sectPr>
      </w:pPr>
      <w:r>
        <w:rPr>
          <w:rFonts w:hint="eastAsia" w:ascii="宋体" w:hAnsi="宋体" w:eastAsia="仿宋_GB2312" w:cs="仿宋_GB2312"/>
          <w:sz w:val="32"/>
          <w:szCs w:val="32"/>
        </w:rPr>
        <w:t>无。</w:t>
      </w:r>
    </w:p>
    <w:p>
      <w:pPr>
        <w:widowControl/>
        <w:rPr>
          <w:rFonts w:hint="eastAsia" w:ascii="黑体" w:hAnsi="黑体" w:eastAsia="黑体" w:cs="黑体"/>
          <w:bCs/>
          <w:sz w:val="32"/>
          <w:szCs w:val="32"/>
        </w:rPr>
      </w:pPr>
      <w:r>
        <w:rPr>
          <w:rFonts w:hint="eastAsia" w:ascii="黑体" w:hAnsi="黑体" w:eastAsia="黑体" w:cs="黑体"/>
          <w:bCs/>
          <w:sz w:val="32"/>
          <w:szCs w:val="32"/>
          <w:lang w:eastAsia="zh-CN"/>
        </w:rPr>
        <w:t>附</w:t>
      </w:r>
    </w:p>
    <w:p>
      <w:pPr>
        <w:widowControl/>
        <w:ind w:firstLine="642" w:firstLineChars="200"/>
        <w:jc w:val="center"/>
        <w:rPr>
          <w:rFonts w:hint="eastAsia" w:ascii="宋体" w:hAnsi="宋体" w:eastAsia="仿宋_GB2312"/>
          <w:b/>
          <w:sz w:val="32"/>
          <w:szCs w:val="32"/>
        </w:rPr>
      </w:pPr>
      <w:r>
        <w:rPr>
          <w:rFonts w:hint="eastAsia" w:ascii="宋体" w:hAnsi="宋体" w:eastAsia="仿宋_GB2312"/>
          <w:b/>
          <w:sz w:val="32"/>
          <w:szCs w:val="32"/>
        </w:rPr>
        <w:t>标准修订主要变化及依据</w:t>
      </w:r>
    </w:p>
    <w:tbl>
      <w:tblPr>
        <w:tblStyle w:val="27"/>
        <w:tblW w:w="494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1"/>
        <w:gridCol w:w="4287"/>
        <w:gridCol w:w="4246"/>
        <w:gridCol w:w="45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57" w:type="pct"/>
            <w:vAlign w:val="center"/>
          </w:tcPr>
          <w:p>
            <w:pPr>
              <w:spacing w:line="240" w:lineRule="auto"/>
              <w:jc w:val="center"/>
              <w:rPr>
                <w:rFonts w:hint="eastAsia" w:ascii="宋体" w:hAnsi="宋体" w:eastAsia="黑体" w:cs="黑体"/>
                <w:sz w:val="24"/>
                <w:szCs w:val="24"/>
              </w:rPr>
            </w:pPr>
            <w:r>
              <w:rPr>
                <w:rFonts w:hint="eastAsia" w:ascii="宋体" w:hAnsi="宋体" w:eastAsia="黑体" w:cs="黑体"/>
                <w:sz w:val="24"/>
                <w:szCs w:val="24"/>
              </w:rPr>
              <w:t>序号</w:t>
            </w:r>
          </w:p>
        </w:tc>
        <w:tc>
          <w:tcPr>
            <w:tcW w:w="1550" w:type="pct"/>
            <w:vAlign w:val="center"/>
          </w:tcPr>
          <w:p>
            <w:pPr>
              <w:spacing w:line="240" w:lineRule="auto"/>
              <w:jc w:val="center"/>
              <w:rPr>
                <w:rFonts w:hint="eastAsia" w:ascii="宋体" w:hAnsi="宋体" w:eastAsia="黑体" w:cs="黑体"/>
                <w:sz w:val="24"/>
                <w:szCs w:val="24"/>
              </w:rPr>
            </w:pPr>
            <w:r>
              <w:rPr>
                <w:rFonts w:hint="eastAsia" w:ascii="宋体" w:hAnsi="宋体" w:eastAsia="黑体" w:cs="黑体"/>
                <w:sz w:val="24"/>
                <w:szCs w:val="24"/>
              </w:rPr>
              <w:t>原标准</w:t>
            </w:r>
          </w:p>
          <w:p>
            <w:pPr>
              <w:spacing w:line="240" w:lineRule="auto"/>
              <w:jc w:val="center"/>
              <w:rPr>
                <w:rFonts w:hint="eastAsia" w:ascii="宋体" w:hAnsi="宋体" w:eastAsia="黑体" w:cs="黑体"/>
                <w:sz w:val="24"/>
                <w:szCs w:val="24"/>
              </w:rPr>
            </w:pPr>
            <w:r>
              <w:rPr>
                <w:rFonts w:hint="eastAsia" w:ascii="宋体" w:hAnsi="宋体" w:eastAsia="黑体" w:cs="黑体"/>
                <w:sz w:val="24"/>
                <w:szCs w:val="24"/>
              </w:rPr>
              <w:t>GB/T 33000—2016</w:t>
            </w:r>
          </w:p>
        </w:tc>
        <w:tc>
          <w:tcPr>
            <w:tcW w:w="1535" w:type="pct"/>
            <w:vAlign w:val="center"/>
          </w:tcPr>
          <w:p>
            <w:pPr>
              <w:spacing w:line="240" w:lineRule="auto"/>
              <w:jc w:val="center"/>
              <w:rPr>
                <w:rFonts w:hint="eastAsia" w:ascii="宋体" w:hAnsi="宋体" w:eastAsia="黑体" w:cs="黑体"/>
                <w:sz w:val="24"/>
                <w:szCs w:val="24"/>
              </w:rPr>
            </w:pPr>
            <w:r>
              <w:rPr>
                <w:rFonts w:hint="eastAsia" w:ascii="宋体" w:hAnsi="宋体" w:eastAsia="黑体" w:cs="黑体"/>
                <w:sz w:val="24"/>
                <w:szCs w:val="24"/>
              </w:rPr>
              <w:t>修订后的标准</w:t>
            </w:r>
          </w:p>
          <w:p>
            <w:pPr>
              <w:spacing w:line="240" w:lineRule="auto"/>
              <w:jc w:val="center"/>
              <w:rPr>
                <w:rFonts w:hint="eastAsia" w:ascii="宋体" w:hAnsi="宋体" w:eastAsia="黑体" w:cs="黑体"/>
                <w:sz w:val="24"/>
                <w:szCs w:val="24"/>
              </w:rPr>
            </w:pPr>
            <w:r>
              <w:rPr>
                <w:rFonts w:hint="eastAsia" w:ascii="宋体" w:hAnsi="宋体" w:eastAsia="黑体" w:cs="黑体"/>
                <w:sz w:val="24"/>
                <w:szCs w:val="24"/>
              </w:rPr>
              <w:t>GB/T 33000—XXXX</w:t>
            </w:r>
          </w:p>
        </w:tc>
        <w:tc>
          <w:tcPr>
            <w:tcW w:w="1657" w:type="pct"/>
            <w:vAlign w:val="center"/>
          </w:tcPr>
          <w:p>
            <w:pPr>
              <w:spacing w:line="240" w:lineRule="auto"/>
              <w:jc w:val="center"/>
              <w:rPr>
                <w:rFonts w:hint="eastAsia" w:ascii="宋体" w:hAnsi="宋体" w:eastAsia="黑体" w:cs="黑体"/>
                <w:sz w:val="24"/>
                <w:szCs w:val="24"/>
              </w:rPr>
            </w:pPr>
            <w:r>
              <w:rPr>
                <w:rFonts w:hint="eastAsia" w:ascii="宋体" w:hAnsi="宋体" w:eastAsia="黑体" w:cs="黑体"/>
                <w:sz w:val="24"/>
                <w:szCs w:val="24"/>
              </w:rPr>
              <w:t>修改依据和理由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57" w:type="pct"/>
            <w:vAlign w:val="center"/>
          </w:tcPr>
          <w:p>
            <w:pPr>
              <w:spacing w:line="240" w:lineRule="auto"/>
              <w:jc w:val="center"/>
              <w:rPr>
                <w:rFonts w:hint="eastAsia" w:ascii="宋体" w:hAnsi="宋体" w:eastAsia="仿宋" w:cs="仿宋"/>
                <w:sz w:val="24"/>
                <w:szCs w:val="24"/>
              </w:rPr>
            </w:pPr>
            <w:r>
              <w:rPr>
                <w:rFonts w:hint="eastAsia" w:ascii="宋体" w:hAnsi="宋体" w:eastAsia="仿宋" w:cs="仿宋"/>
                <w:sz w:val="24"/>
                <w:szCs w:val="24"/>
              </w:rPr>
              <w:t>1</w:t>
            </w:r>
          </w:p>
        </w:tc>
        <w:tc>
          <w:tcPr>
            <w:tcW w:w="1550" w:type="pct"/>
            <w:vAlign w:val="center"/>
          </w:tcPr>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4.1 安全领导力</w:t>
            </w:r>
          </w:p>
          <w:p>
            <w:pPr>
              <w:snapToGrid w:val="0"/>
              <w:spacing w:line="240" w:lineRule="auto"/>
              <w:rPr>
                <w:rFonts w:hint="eastAsia" w:ascii="宋体" w:hAnsi="宋体" w:eastAsia="仿宋" w:cs="仿宋"/>
                <w:sz w:val="24"/>
              </w:rPr>
            </w:pPr>
            <w:r>
              <w:rPr>
                <w:rFonts w:hint="eastAsia" w:ascii="宋体" w:hAnsi="宋体" w:eastAsia="仿宋" w:cs="仿宋"/>
                <w:sz w:val="24"/>
              </w:rPr>
              <w:t>企业各级领导应在以下方面发挥领导作用，提升决断力、执行力和影响力：</w:t>
            </w:r>
          </w:p>
          <w:p>
            <w:pPr>
              <w:snapToGrid w:val="0"/>
              <w:spacing w:line="240" w:lineRule="auto"/>
              <w:rPr>
                <w:rFonts w:hint="eastAsia" w:ascii="宋体" w:hAnsi="宋体" w:eastAsia="仿宋" w:cs="仿宋"/>
                <w:sz w:val="24"/>
              </w:rPr>
            </w:pPr>
            <w:r>
              <w:rPr>
                <w:rFonts w:hint="eastAsia" w:ascii="宋体" w:hAnsi="宋体" w:eastAsia="仿宋" w:cs="仿宋"/>
                <w:sz w:val="24"/>
              </w:rPr>
              <w:t>a)践行安全理念；</w:t>
            </w:r>
          </w:p>
          <w:p>
            <w:pPr>
              <w:snapToGrid w:val="0"/>
              <w:spacing w:line="240" w:lineRule="auto"/>
              <w:rPr>
                <w:rFonts w:hint="eastAsia" w:ascii="宋体" w:hAnsi="宋体" w:eastAsia="仿宋" w:cs="仿宋"/>
                <w:sz w:val="24"/>
              </w:rPr>
            </w:pPr>
            <w:r>
              <w:rPr>
                <w:rFonts w:hint="eastAsia" w:ascii="宋体" w:hAnsi="宋体" w:eastAsia="仿宋" w:cs="仿宋"/>
                <w:sz w:val="24"/>
              </w:rPr>
              <w:t>b</w:t>
            </w:r>
            <w:r>
              <w:rPr>
                <w:rFonts w:hint="eastAsia" w:ascii="宋体" w:hAnsi="宋体" w:eastAsia="仿宋" w:cs="仿宋"/>
                <w:sz w:val="24"/>
                <w:shd w:val="clear" w:color="auto" w:fill="FFFFFF"/>
              </w:rPr>
              <w:t>)</w:t>
            </w:r>
            <w:r>
              <w:rPr>
                <w:rFonts w:hint="eastAsia" w:ascii="宋体" w:hAnsi="宋体" w:eastAsia="仿宋" w:cs="仿宋"/>
                <w:sz w:val="24"/>
              </w:rPr>
              <w:t>履行安全承诺；</w:t>
            </w:r>
          </w:p>
          <w:p>
            <w:pPr>
              <w:snapToGrid w:val="0"/>
              <w:spacing w:line="240" w:lineRule="auto"/>
              <w:rPr>
                <w:rFonts w:hint="eastAsia" w:ascii="宋体" w:hAnsi="宋体" w:eastAsia="仿宋" w:cs="仿宋"/>
                <w:sz w:val="24"/>
              </w:rPr>
            </w:pPr>
            <w:r>
              <w:rPr>
                <w:rFonts w:hint="eastAsia" w:ascii="宋体" w:hAnsi="宋体" w:eastAsia="仿宋" w:cs="仿宋"/>
                <w:sz w:val="24"/>
              </w:rPr>
              <w:t>c</w:t>
            </w:r>
            <w:r>
              <w:rPr>
                <w:rFonts w:hint="eastAsia" w:ascii="宋体" w:hAnsi="宋体" w:eastAsia="仿宋" w:cs="仿宋"/>
                <w:sz w:val="24"/>
                <w:shd w:val="clear" w:color="auto" w:fill="FFFFFF"/>
              </w:rPr>
              <w:t>)</w:t>
            </w:r>
            <w:r>
              <w:rPr>
                <w:rFonts w:hint="eastAsia" w:ascii="宋体" w:hAnsi="宋体" w:eastAsia="仿宋" w:cs="仿宋"/>
                <w:sz w:val="24"/>
                <w:shd w:val="clear" w:fill="FFFFFF"/>
              </w:rPr>
              <w:t>发</w:t>
            </w:r>
            <w:r>
              <w:rPr>
                <w:rFonts w:hint="eastAsia" w:ascii="宋体" w:hAnsi="宋体" w:eastAsia="仿宋" w:cs="仿宋"/>
                <w:sz w:val="24"/>
              </w:rPr>
              <w:t>挥表率作用；</w:t>
            </w:r>
          </w:p>
          <w:p>
            <w:pPr>
              <w:snapToGrid w:val="0"/>
              <w:spacing w:line="240" w:lineRule="auto"/>
              <w:rPr>
                <w:rFonts w:hint="eastAsia" w:ascii="宋体" w:hAnsi="宋体" w:eastAsia="仿宋" w:cs="仿宋"/>
                <w:sz w:val="24"/>
              </w:rPr>
            </w:pPr>
            <w:r>
              <w:rPr>
                <w:rFonts w:hint="eastAsia" w:ascii="宋体" w:hAnsi="宋体" w:eastAsia="仿宋" w:cs="仿宋"/>
                <w:sz w:val="24"/>
              </w:rPr>
              <w:t>d</w:t>
            </w:r>
            <w:r>
              <w:rPr>
                <w:rFonts w:hint="eastAsia" w:ascii="宋体" w:hAnsi="宋体" w:eastAsia="仿宋" w:cs="仿宋"/>
                <w:sz w:val="24"/>
                <w:shd w:val="clear" w:color="auto" w:fill="FFFFFF"/>
              </w:rPr>
              <w:t>)</w:t>
            </w:r>
            <w:r>
              <w:rPr>
                <w:rFonts w:hint="eastAsia" w:ascii="宋体" w:hAnsi="宋体" w:eastAsia="仿宋" w:cs="仿宋"/>
                <w:sz w:val="24"/>
              </w:rPr>
              <w:t>提供资源保障；</w:t>
            </w:r>
          </w:p>
          <w:p>
            <w:pPr>
              <w:snapToGrid w:val="0"/>
              <w:spacing w:line="240" w:lineRule="auto"/>
              <w:rPr>
                <w:rFonts w:hint="eastAsia" w:ascii="宋体" w:hAnsi="宋体" w:eastAsia="仿宋" w:cs="仿宋"/>
                <w:sz w:val="24"/>
              </w:rPr>
            </w:pPr>
            <w:r>
              <w:rPr>
                <w:rFonts w:hint="eastAsia" w:ascii="宋体" w:hAnsi="宋体" w:eastAsia="仿宋" w:cs="仿宋"/>
                <w:sz w:val="24"/>
              </w:rPr>
              <w:t>e</w:t>
            </w:r>
            <w:r>
              <w:rPr>
                <w:rFonts w:hint="eastAsia" w:ascii="宋体" w:hAnsi="宋体" w:eastAsia="仿宋" w:cs="仿宋"/>
                <w:sz w:val="24"/>
                <w:shd w:val="clear" w:color="auto" w:fill="FFFFFF"/>
              </w:rPr>
              <w:t>)</w:t>
            </w:r>
            <w:r>
              <w:rPr>
                <w:rFonts w:hint="eastAsia" w:ascii="宋体" w:hAnsi="宋体" w:eastAsia="仿宋" w:cs="仿宋"/>
                <w:sz w:val="24"/>
              </w:rPr>
              <w:t>管控安全风险；</w:t>
            </w:r>
          </w:p>
          <w:p>
            <w:pPr>
              <w:snapToGrid w:val="0"/>
              <w:spacing w:line="240" w:lineRule="auto"/>
              <w:rPr>
                <w:rFonts w:hint="eastAsia" w:ascii="宋体" w:hAnsi="宋体" w:eastAsia="仿宋" w:cs="仿宋"/>
                <w:sz w:val="24"/>
              </w:rPr>
            </w:pPr>
            <w:r>
              <w:rPr>
                <w:rFonts w:hint="eastAsia" w:ascii="宋体" w:hAnsi="宋体" w:eastAsia="仿宋" w:cs="仿宋"/>
                <w:sz w:val="24"/>
              </w:rPr>
              <w:t>f</w:t>
            </w:r>
            <w:r>
              <w:rPr>
                <w:rFonts w:hint="eastAsia" w:ascii="宋体" w:hAnsi="宋体" w:eastAsia="仿宋" w:cs="仿宋"/>
                <w:sz w:val="24"/>
                <w:shd w:val="clear" w:color="auto" w:fill="FFFFFF"/>
              </w:rPr>
              <w:t>)</w:t>
            </w:r>
            <w:r>
              <w:rPr>
                <w:rFonts w:hint="eastAsia" w:ascii="宋体" w:hAnsi="宋体" w:eastAsia="仿宋" w:cs="仿宋"/>
                <w:sz w:val="24"/>
              </w:rPr>
              <w:t>排查治理隐患；</w:t>
            </w:r>
          </w:p>
          <w:p>
            <w:pPr>
              <w:snapToGrid w:val="0"/>
              <w:spacing w:line="240" w:lineRule="auto"/>
              <w:rPr>
                <w:rFonts w:hint="eastAsia" w:ascii="宋体" w:hAnsi="宋体" w:eastAsia="仿宋" w:cs="仿宋"/>
                <w:sz w:val="24"/>
              </w:rPr>
            </w:pPr>
            <w:r>
              <w:rPr>
                <w:rFonts w:hint="eastAsia" w:ascii="宋体" w:hAnsi="宋体" w:eastAsia="仿宋" w:cs="仿宋"/>
                <w:sz w:val="24"/>
              </w:rPr>
              <w:t>g</w:t>
            </w:r>
            <w:r>
              <w:rPr>
                <w:rFonts w:hint="eastAsia" w:ascii="宋体" w:hAnsi="宋体" w:eastAsia="仿宋" w:cs="仿宋"/>
                <w:sz w:val="24"/>
                <w:shd w:val="clear" w:color="auto" w:fill="FFFFFF"/>
              </w:rPr>
              <w:t>)</w:t>
            </w:r>
            <w:r>
              <w:rPr>
                <w:rFonts w:hint="eastAsia" w:ascii="宋体" w:hAnsi="宋体" w:eastAsia="仿宋" w:cs="仿宋"/>
                <w:sz w:val="24"/>
              </w:rPr>
              <w:t>科学应急处置。</w:t>
            </w:r>
          </w:p>
          <w:p>
            <w:pPr>
              <w:snapToGrid w:val="0"/>
              <w:spacing w:line="240" w:lineRule="auto"/>
              <w:rPr>
                <w:rFonts w:hint="eastAsia" w:ascii="宋体" w:hAnsi="宋体" w:eastAsia="仿宋" w:cs="仿宋"/>
                <w:sz w:val="24"/>
              </w:rPr>
            </w:pPr>
            <w:r>
              <w:rPr>
                <w:rFonts w:hint="eastAsia" w:ascii="宋体" w:hAnsi="宋体" w:eastAsia="仿宋" w:cs="仿宋"/>
                <w:sz w:val="24"/>
              </w:rPr>
              <w:t>企业主要负责人是本企业安全生产第一责任人，应对安全生产工作全面负责。其他负责人对职责范围内的安全生产工作负责。</w:t>
            </w:r>
          </w:p>
          <w:p>
            <w:pPr>
              <w:snapToGrid w:val="0"/>
              <w:spacing w:line="240" w:lineRule="auto"/>
              <w:rPr>
                <w:rFonts w:hint="eastAsia" w:ascii="宋体" w:hAnsi="宋体" w:eastAsia="仿宋" w:cs="仿宋"/>
                <w:sz w:val="24"/>
              </w:rPr>
            </w:pPr>
            <w:r>
              <w:rPr>
                <w:rFonts w:hint="eastAsia" w:ascii="宋体" w:hAnsi="宋体" w:eastAsia="仿宋" w:cs="仿宋"/>
                <w:sz w:val="24"/>
              </w:rPr>
              <w:t>企业各级领导应深入现场一线，了解现场情况，解决安全生产实际问题。</w:t>
            </w:r>
          </w:p>
        </w:tc>
        <w:tc>
          <w:tcPr>
            <w:tcW w:w="1657" w:type="pct"/>
            <w:vAlign w:val="center"/>
          </w:tcPr>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安全领导力一直为政府及业界所重视。国际大公司把安全领导力作为任职前提条件，国内《</w:t>
            </w:r>
            <w:r>
              <w:rPr>
                <w:rFonts w:hint="eastAsia" w:ascii="宋体" w:hAnsi="宋体" w:eastAsia="仿宋" w:cs="仿宋"/>
                <w:sz w:val="24"/>
                <w:szCs w:val="24"/>
                <w:shd w:val="clear" w:color="auto" w:fill="FFFFFF"/>
              </w:rPr>
              <w:t>中华人民共和国安全生产法</w:t>
            </w:r>
            <w:r>
              <w:rPr>
                <w:rFonts w:hint="eastAsia" w:ascii="宋体" w:hAnsi="宋体" w:eastAsia="仿宋" w:cs="仿宋"/>
                <w:sz w:val="24"/>
                <w:szCs w:val="24"/>
                <w:shd w:val="clear" w:fill="FFFFFF"/>
                <w:lang w:eastAsia="zh-CN"/>
              </w:rPr>
              <w:t>》《</w:t>
            </w:r>
            <w:r>
              <w:rPr>
                <w:rFonts w:hint="eastAsia" w:ascii="宋体" w:hAnsi="宋体" w:eastAsia="仿宋" w:cs="仿宋"/>
                <w:sz w:val="24"/>
                <w:szCs w:val="24"/>
                <w:shd w:val="clear" w:color="auto" w:fill="FFFFFF"/>
              </w:rPr>
              <w:t>中共中央 国务院</w:t>
            </w:r>
            <w:r>
              <w:rPr>
                <w:rFonts w:hint="eastAsia" w:ascii="宋体" w:hAnsi="宋体" w:eastAsia="仿宋" w:cs="仿宋"/>
                <w:sz w:val="24"/>
                <w:szCs w:val="24"/>
              </w:rPr>
              <w:t>关于推进安全生产领域改革发展的意见》等也强调了安全领导力，安全生产形势与各级领导的安全意识和能力有着直接关系。因此本标准强化了安全领导力的重要性，增加了相关内容。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spacing w:line="240" w:lineRule="auto"/>
              <w:jc w:val="center"/>
              <w:rPr>
                <w:rFonts w:hint="eastAsia" w:ascii="宋体" w:hAnsi="宋体" w:eastAsia="仿宋" w:cs="仿宋"/>
                <w:sz w:val="24"/>
                <w:szCs w:val="24"/>
              </w:rPr>
            </w:pPr>
            <w:r>
              <w:rPr>
                <w:rFonts w:hint="eastAsia" w:ascii="宋体" w:hAnsi="宋体" w:eastAsia="仿宋" w:cs="仿宋"/>
                <w:sz w:val="24"/>
                <w:szCs w:val="24"/>
              </w:rPr>
              <w:t>2</w:t>
            </w:r>
          </w:p>
        </w:tc>
        <w:tc>
          <w:tcPr>
            <w:tcW w:w="1550" w:type="pct"/>
            <w:vAlign w:val="center"/>
          </w:tcPr>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w:t>
            </w:r>
          </w:p>
        </w:tc>
        <w:tc>
          <w:tcPr>
            <w:tcW w:w="1535" w:type="pct"/>
            <w:vAlign w:val="center"/>
          </w:tcPr>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4.2 安全承诺</w:t>
            </w:r>
          </w:p>
          <w:p>
            <w:pPr>
              <w:snapToGrid w:val="0"/>
              <w:spacing w:line="240" w:lineRule="auto"/>
              <w:rPr>
                <w:rFonts w:hint="eastAsia" w:ascii="宋体" w:hAnsi="宋体" w:eastAsia="仿宋" w:cs="仿宋"/>
                <w:sz w:val="24"/>
              </w:rPr>
            </w:pPr>
            <w:r>
              <w:rPr>
                <w:rFonts w:hint="eastAsia" w:ascii="宋体" w:hAnsi="宋体" w:eastAsia="仿宋" w:cs="仿宋"/>
                <w:sz w:val="24"/>
              </w:rPr>
              <w:t>企业主要负责人应代表企业作出书面、公开的安全承诺，承诺内容包括但不限于：</w:t>
            </w:r>
          </w:p>
          <w:p>
            <w:pPr>
              <w:snapToGrid w:val="0"/>
              <w:spacing w:line="240" w:lineRule="auto"/>
              <w:rPr>
                <w:rFonts w:hint="eastAsia" w:ascii="宋体" w:hAnsi="宋体" w:eastAsia="仿宋" w:cs="仿宋"/>
                <w:sz w:val="24"/>
              </w:rPr>
            </w:pPr>
            <w:r>
              <w:rPr>
                <w:rFonts w:hint="eastAsia" w:ascii="宋体" w:hAnsi="宋体" w:eastAsia="仿宋" w:cs="仿宋"/>
                <w:sz w:val="24"/>
              </w:rPr>
              <w:t>a</w:t>
            </w:r>
            <w:r>
              <w:rPr>
                <w:rFonts w:hint="eastAsia" w:ascii="宋体" w:hAnsi="宋体" w:eastAsia="仿宋" w:cs="仿宋"/>
                <w:sz w:val="24"/>
                <w:shd w:val="clear" w:color="auto" w:fill="FFFFFF"/>
              </w:rPr>
              <w:t>)</w:t>
            </w:r>
            <w:r>
              <w:rPr>
                <w:rFonts w:hint="eastAsia" w:ascii="宋体" w:hAnsi="宋体" w:eastAsia="仿宋" w:cs="仿宋"/>
                <w:sz w:val="24"/>
              </w:rPr>
              <w:t>遵守安全生产法律法规；</w:t>
            </w:r>
          </w:p>
          <w:p>
            <w:pPr>
              <w:snapToGrid w:val="0"/>
              <w:spacing w:line="240" w:lineRule="auto"/>
              <w:rPr>
                <w:rFonts w:hint="eastAsia" w:ascii="宋体" w:hAnsi="宋体" w:eastAsia="仿宋" w:cs="仿宋"/>
                <w:sz w:val="24"/>
              </w:rPr>
            </w:pPr>
            <w:r>
              <w:rPr>
                <w:rFonts w:hint="eastAsia" w:ascii="宋体" w:hAnsi="宋体" w:eastAsia="仿宋" w:cs="仿宋"/>
                <w:sz w:val="24"/>
              </w:rPr>
              <w:t>b</w:t>
            </w:r>
            <w:r>
              <w:rPr>
                <w:rFonts w:hint="eastAsia" w:ascii="宋体" w:hAnsi="宋体" w:eastAsia="仿宋" w:cs="仿宋"/>
                <w:sz w:val="24"/>
                <w:shd w:val="clear" w:color="auto" w:fill="FFFFFF"/>
              </w:rPr>
              <w:t>)</w:t>
            </w:r>
            <w:r>
              <w:rPr>
                <w:rFonts w:hint="eastAsia" w:ascii="宋体" w:hAnsi="宋体" w:eastAsia="仿宋" w:cs="仿宋"/>
                <w:sz w:val="24"/>
              </w:rPr>
              <w:t>落实安全生产责任；</w:t>
            </w:r>
          </w:p>
          <w:p>
            <w:pPr>
              <w:snapToGrid w:val="0"/>
              <w:spacing w:line="240" w:lineRule="auto"/>
              <w:rPr>
                <w:rFonts w:hint="eastAsia" w:ascii="宋体" w:hAnsi="宋体" w:eastAsia="仿宋" w:cs="仿宋"/>
                <w:sz w:val="24"/>
              </w:rPr>
            </w:pPr>
            <w:r>
              <w:rPr>
                <w:rFonts w:hint="eastAsia" w:ascii="宋体" w:hAnsi="宋体" w:eastAsia="仿宋" w:cs="仿宋"/>
                <w:sz w:val="24"/>
              </w:rPr>
              <w:t>c</w:t>
            </w:r>
            <w:r>
              <w:rPr>
                <w:rFonts w:hint="eastAsia" w:ascii="宋体" w:hAnsi="宋体" w:eastAsia="仿宋" w:cs="仿宋"/>
                <w:sz w:val="24"/>
                <w:shd w:val="clear" w:color="auto" w:fill="FFFFFF"/>
              </w:rPr>
              <w:t>)</w:t>
            </w:r>
            <w:r>
              <w:rPr>
                <w:rFonts w:hint="eastAsia" w:ascii="宋体" w:hAnsi="宋体" w:eastAsia="仿宋" w:cs="仿宋"/>
                <w:sz w:val="24"/>
              </w:rPr>
              <w:t>健全安全生产标准化管理体系；</w:t>
            </w:r>
          </w:p>
          <w:p>
            <w:pPr>
              <w:snapToGrid w:val="0"/>
              <w:spacing w:line="240" w:lineRule="auto"/>
              <w:rPr>
                <w:rFonts w:hint="eastAsia" w:ascii="宋体" w:hAnsi="宋体" w:eastAsia="仿宋" w:cs="仿宋"/>
                <w:sz w:val="24"/>
              </w:rPr>
            </w:pPr>
            <w:r>
              <w:rPr>
                <w:rFonts w:hint="eastAsia" w:ascii="宋体" w:hAnsi="宋体" w:eastAsia="仿宋" w:cs="仿宋"/>
                <w:sz w:val="24"/>
              </w:rPr>
              <w:t>d</w:t>
            </w:r>
            <w:r>
              <w:rPr>
                <w:rFonts w:hint="eastAsia" w:ascii="宋体" w:hAnsi="宋体" w:eastAsia="仿宋" w:cs="仿宋"/>
                <w:sz w:val="24"/>
                <w:shd w:val="clear" w:color="auto" w:fill="FFFFFF"/>
              </w:rPr>
              <w:t>)</w:t>
            </w:r>
            <w:r>
              <w:rPr>
                <w:rFonts w:hint="eastAsia" w:ascii="宋体" w:hAnsi="宋体" w:eastAsia="仿宋" w:cs="仿宋"/>
                <w:sz w:val="24"/>
              </w:rPr>
              <w:t>保障安全生产投入；</w:t>
            </w:r>
          </w:p>
          <w:p>
            <w:pPr>
              <w:snapToGrid w:val="0"/>
              <w:spacing w:line="240" w:lineRule="auto"/>
              <w:rPr>
                <w:rFonts w:hint="eastAsia" w:ascii="宋体" w:hAnsi="宋体" w:eastAsia="仿宋" w:cs="仿宋"/>
                <w:sz w:val="24"/>
              </w:rPr>
            </w:pPr>
            <w:r>
              <w:rPr>
                <w:rFonts w:hint="eastAsia" w:ascii="宋体" w:hAnsi="宋体" w:eastAsia="仿宋" w:cs="仿宋"/>
                <w:sz w:val="24"/>
              </w:rPr>
              <w:t>e</w:t>
            </w:r>
            <w:r>
              <w:rPr>
                <w:rFonts w:hint="eastAsia" w:ascii="宋体" w:hAnsi="宋体" w:eastAsia="仿宋" w:cs="仿宋"/>
                <w:sz w:val="24"/>
                <w:shd w:val="clear" w:color="auto" w:fill="FFFFFF"/>
              </w:rPr>
              <w:t>)</w:t>
            </w:r>
            <w:r>
              <w:rPr>
                <w:rFonts w:hint="eastAsia" w:ascii="宋体" w:hAnsi="宋体" w:eastAsia="仿宋" w:cs="仿宋"/>
                <w:sz w:val="24"/>
              </w:rPr>
              <w:t>管控安全风险；</w:t>
            </w:r>
          </w:p>
          <w:p>
            <w:pPr>
              <w:snapToGrid w:val="0"/>
              <w:spacing w:line="240" w:lineRule="auto"/>
              <w:rPr>
                <w:rFonts w:hint="eastAsia" w:ascii="宋体" w:hAnsi="宋体" w:eastAsia="仿宋" w:cs="仿宋"/>
                <w:sz w:val="24"/>
              </w:rPr>
            </w:pPr>
            <w:r>
              <w:rPr>
                <w:rFonts w:hint="eastAsia" w:ascii="宋体" w:hAnsi="宋体" w:eastAsia="仿宋" w:cs="仿宋"/>
                <w:sz w:val="24"/>
              </w:rPr>
              <w:t>f</w:t>
            </w:r>
            <w:r>
              <w:rPr>
                <w:rFonts w:hint="eastAsia" w:ascii="宋体" w:hAnsi="宋体" w:eastAsia="仿宋" w:cs="仿宋"/>
                <w:sz w:val="24"/>
                <w:shd w:val="clear" w:color="auto" w:fill="FFFFFF"/>
              </w:rPr>
              <w:t>)</w:t>
            </w:r>
            <w:r>
              <w:rPr>
                <w:rFonts w:hint="eastAsia" w:ascii="宋体" w:hAnsi="宋体" w:eastAsia="仿宋" w:cs="仿宋"/>
                <w:sz w:val="24"/>
              </w:rPr>
              <w:t>排查治理隐患；</w:t>
            </w:r>
          </w:p>
          <w:p>
            <w:pPr>
              <w:snapToGrid w:val="0"/>
              <w:spacing w:line="240" w:lineRule="auto"/>
              <w:rPr>
                <w:rFonts w:hint="eastAsia" w:ascii="宋体" w:hAnsi="宋体" w:eastAsia="仿宋" w:cs="仿宋"/>
                <w:sz w:val="24"/>
              </w:rPr>
            </w:pPr>
            <w:r>
              <w:rPr>
                <w:rFonts w:hint="eastAsia" w:ascii="宋体" w:hAnsi="宋体" w:eastAsia="仿宋" w:cs="仿宋"/>
                <w:sz w:val="24"/>
              </w:rPr>
              <w:t>g</w:t>
            </w:r>
            <w:r>
              <w:rPr>
                <w:rFonts w:hint="eastAsia" w:ascii="宋体" w:hAnsi="宋体" w:eastAsia="仿宋" w:cs="仿宋"/>
                <w:sz w:val="24"/>
                <w:shd w:val="clear" w:color="auto" w:fill="FFFFFF"/>
              </w:rPr>
              <w:t>)</w:t>
            </w:r>
            <w:r>
              <w:rPr>
                <w:rFonts w:hint="eastAsia" w:ascii="宋体" w:hAnsi="宋体" w:eastAsia="仿宋" w:cs="仿宋"/>
                <w:sz w:val="24"/>
              </w:rPr>
              <w:t>维护职工合法权益。</w:t>
            </w:r>
          </w:p>
          <w:p>
            <w:pPr>
              <w:spacing w:line="240" w:lineRule="auto"/>
              <w:rPr>
                <w:rFonts w:hint="eastAsia" w:ascii="宋体" w:hAnsi="宋体" w:eastAsia="仿宋" w:cs="仿宋"/>
                <w:sz w:val="24"/>
                <w:szCs w:val="24"/>
              </w:rPr>
            </w:pPr>
            <w:r>
              <w:rPr>
                <w:rFonts w:hint="eastAsia" w:ascii="宋体" w:hAnsi="宋体" w:eastAsia="仿宋" w:cs="仿宋"/>
                <w:sz w:val="24"/>
              </w:rPr>
              <w:t>安全承诺兑现情况应接受从业人员和社会的监督。</w:t>
            </w:r>
          </w:p>
        </w:tc>
        <w:tc>
          <w:tcPr>
            <w:tcW w:w="1657" w:type="pct"/>
            <w:vAlign w:val="center"/>
          </w:tcPr>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w:t>
            </w:r>
            <w:r>
              <w:rPr>
                <w:rFonts w:hint="eastAsia" w:ascii="宋体" w:hAnsi="宋体" w:eastAsia="仿宋" w:cs="仿宋"/>
                <w:sz w:val="24"/>
                <w:szCs w:val="24"/>
                <w:shd w:val="clear" w:color="auto" w:fill="FFFFFF"/>
              </w:rPr>
              <w:t>中华人民共和国安全生产法</w:t>
            </w:r>
            <w:r>
              <w:rPr>
                <w:rFonts w:hint="eastAsia" w:ascii="宋体" w:hAnsi="宋体" w:eastAsia="仿宋" w:cs="仿宋"/>
                <w:sz w:val="24"/>
                <w:szCs w:val="24"/>
              </w:rPr>
              <w:t>》等法律法规要求企业加强安全生产管理，安全承诺作为企业对外表明其将严格遵守安全生产法律法规的书面承诺，有助于企业更好地履行法律责任。因此本标准增加了安全承诺要素。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spacing w:line="240" w:lineRule="auto"/>
              <w:jc w:val="center"/>
              <w:rPr>
                <w:rFonts w:hint="eastAsia" w:ascii="宋体" w:hAnsi="宋体" w:eastAsia="仿宋" w:cs="仿宋"/>
                <w:sz w:val="24"/>
                <w:szCs w:val="24"/>
              </w:rPr>
            </w:pPr>
            <w:r>
              <w:rPr>
                <w:rFonts w:hint="eastAsia" w:ascii="宋体" w:hAnsi="宋体" w:eastAsia="仿宋" w:cs="仿宋"/>
                <w:sz w:val="24"/>
                <w:szCs w:val="24"/>
              </w:rPr>
              <w:t>3</w:t>
            </w:r>
          </w:p>
        </w:tc>
        <w:tc>
          <w:tcPr>
            <w:tcW w:w="1550" w:type="pct"/>
            <w:vAlign w:val="center"/>
          </w:tcPr>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4.3 安全决策</w:t>
            </w:r>
          </w:p>
          <w:p>
            <w:pPr>
              <w:snapToGrid w:val="0"/>
              <w:spacing w:line="240" w:lineRule="auto"/>
              <w:rPr>
                <w:rFonts w:hint="eastAsia" w:ascii="宋体" w:hAnsi="宋体" w:eastAsia="仿宋" w:cs="仿宋"/>
                <w:sz w:val="24"/>
              </w:rPr>
            </w:pPr>
            <w:r>
              <w:rPr>
                <w:rFonts w:hint="eastAsia" w:ascii="宋体" w:hAnsi="宋体" w:eastAsia="仿宋" w:cs="仿宋"/>
                <w:sz w:val="24"/>
              </w:rPr>
              <w:t>企业应明确安全生产决策的事项、权责和流程。</w:t>
            </w:r>
          </w:p>
          <w:p>
            <w:pPr>
              <w:snapToGrid w:val="0"/>
              <w:spacing w:line="240" w:lineRule="auto"/>
              <w:rPr>
                <w:rFonts w:hint="eastAsia" w:ascii="宋体" w:hAnsi="宋体" w:eastAsia="仿宋" w:cs="仿宋"/>
                <w:sz w:val="24"/>
              </w:rPr>
            </w:pPr>
            <w:r>
              <w:rPr>
                <w:rFonts w:hint="eastAsia" w:ascii="宋体" w:hAnsi="宋体" w:eastAsia="仿宋" w:cs="仿宋"/>
                <w:sz w:val="24"/>
              </w:rPr>
              <w:t>应基于安全生产合规义务、安全风险管控和应急管理等要求，运用科学的方法对安全生产事项进行决策。</w:t>
            </w:r>
          </w:p>
          <w:p>
            <w:pPr>
              <w:snapToGrid w:val="0"/>
              <w:spacing w:line="240" w:lineRule="auto"/>
              <w:rPr>
                <w:rFonts w:hint="eastAsia" w:ascii="宋体" w:hAnsi="宋体" w:eastAsia="仿宋" w:cs="仿宋"/>
                <w:sz w:val="24"/>
              </w:rPr>
            </w:pPr>
            <w:r>
              <w:rPr>
                <w:rFonts w:hint="eastAsia" w:ascii="宋体" w:hAnsi="宋体" w:eastAsia="仿宋" w:cs="仿宋"/>
                <w:sz w:val="24"/>
              </w:rPr>
              <w:t>作出涉及安全生产的经营决策前，应听取安全生产管理机构、业务部门和从业人员代表的意见。</w:t>
            </w:r>
          </w:p>
        </w:tc>
        <w:tc>
          <w:tcPr>
            <w:tcW w:w="1657" w:type="pct"/>
            <w:vAlign w:val="center"/>
          </w:tcPr>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安全决策是针对生产经营活动中的特定安全生产问题，从多种解决方案中做出满意的选择，以较好地达到安全目标的活动过程。通过明确安全生产决策的事项、权责和流程，依法依规进行安全决策，可确保决策内容、决策程序合法合规。因此本标准增加了安全决策要素，突出安全决策在企业安全管理的重要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spacing w:line="240" w:lineRule="auto"/>
              <w:jc w:val="center"/>
              <w:rPr>
                <w:rFonts w:hint="eastAsia" w:ascii="宋体" w:hAnsi="宋体" w:eastAsia="仿宋" w:cs="仿宋"/>
                <w:sz w:val="24"/>
                <w:szCs w:val="24"/>
              </w:rPr>
            </w:pPr>
            <w:r>
              <w:rPr>
                <w:rFonts w:hint="eastAsia" w:ascii="宋体" w:hAnsi="宋体" w:eastAsia="仿宋" w:cs="仿宋"/>
                <w:sz w:val="24"/>
                <w:szCs w:val="24"/>
              </w:rPr>
              <w:t>4</w:t>
            </w:r>
          </w:p>
        </w:tc>
        <w:tc>
          <w:tcPr>
            <w:tcW w:w="1550" w:type="pct"/>
            <w:vAlign w:val="center"/>
          </w:tcPr>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4.4 安全履职评价</w:t>
            </w:r>
          </w:p>
          <w:p>
            <w:pPr>
              <w:snapToGrid w:val="0"/>
              <w:spacing w:line="240" w:lineRule="auto"/>
              <w:rPr>
                <w:rFonts w:hint="eastAsia" w:ascii="宋体" w:hAnsi="宋体" w:eastAsia="仿宋" w:cs="仿宋"/>
                <w:sz w:val="24"/>
              </w:rPr>
            </w:pPr>
            <w:r>
              <w:rPr>
                <w:rFonts w:hint="eastAsia" w:ascii="宋体" w:hAnsi="宋体" w:eastAsia="仿宋" w:cs="仿宋"/>
                <w:sz w:val="24"/>
              </w:rPr>
              <w:t>企业应建立主要负责人和其他负责人安全履职评价的管理要求，明确安全履职评价的周期、标准、结果应用等内容。</w:t>
            </w:r>
          </w:p>
          <w:p>
            <w:pPr>
              <w:snapToGrid w:val="0"/>
              <w:spacing w:line="240" w:lineRule="auto"/>
              <w:rPr>
                <w:rFonts w:hint="eastAsia" w:ascii="宋体" w:hAnsi="宋体" w:eastAsia="仿宋" w:cs="仿宋"/>
                <w:sz w:val="24"/>
              </w:rPr>
            </w:pPr>
            <w:r>
              <w:rPr>
                <w:rFonts w:hint="eastAsia" w:ascii="宋体" w:hAnsi="宋体" w:eastAsia="仿宋" w:cs="仿宋"/>
                <w:sz w:val="24"/>
              </w:rPr>
              <w:t>企业主要负责人应每年进行安全述职，并将其作为履职评价的重要内容。</w:t>
            </w:r>
          </w:p>
          <w:p>
            <w:pPr>
              <w:snapToGrid w:val="0"/>
              <w:spacing w:line="240" w:lineRule="auto"/>
              <w:rPr>
                <w:rFonts w:hint="eastAsia" w:ascii="宋体" w:hAnsi="宋体" w:eastAsia="仿宋" w:cs="仿宋"/>
                <w:sz w:val="24"/>
              </w:rPr>
            </w:pPr>
            <w:r>
              <w:rPr>
                <w:rFonts w:hint="eastAsia" w:ascii="宋体" w:hAnsi="宋体" w:eastAsia="仿宋" w:cs="仿宋"/>
                <w:sz w:val="24"/>
              </w:rPr>
              <w:t>安全履职评价结果应纳入绩效评价，可作为任免、晋升、评优等重要依据。</w:t>
            </w:r>
          </w:p>
        </w:tc>
        <w:tc>
          <w:tcPr>
            <w:tcW w:w="1657" w:type="pct"/>
            <w:vAlign w:val="center"/>
          </w:tcPr>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安全履职评价是评价企业主要负责人及领导班子成员在安全管理工作中按照既定的安全标准和程序履行其职责的情况，是对其进行综合考核评价的重要依据。因此本标准中增加了安全履职评价要素。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9" w:hRule="atLeast"/>
          <w:jc w:val="center"/>
        </w:trPr>
        <w:tc>
          <w:tcPr>
            <w:tcW w:w="257" w:type="pct"/>
            <w:vAlign w:val="center"/>
          </w:tcPr>
          <w:p>
            <w:pPr>
              <w:spacing w:line="240" w:lineRule="auto"/>
              <w:jc w:val="center"/>
              <w:rPr>
                <w:rFonts w:hint="eastAsia" w:ascii="宋体" w:hAnsi="宋体" w:eastAsia="仿宋" w:cs="仿宋"/>
                <w:sz w:val="24"/>
                <w:szCs w:val="24"/>
              </w:rPr>
            </w:pPr>
            <w:r>
              <w:rPr>
                <w:rFonts w:hint="eastAsia" w:ascii="宋体" w:hAnsi="宋体" w:eastAsia="仿宋" w:cs="仿宋"/>
                <w:sz w:val="24"/>
                <w:szCs w:val="24"/>
              </w:rPr>
              <w:t>5</w:t>
            </w:r>
          </w:p>
        </w:tc>
        <w:tc>
          <w:tcPr>
            <w:tcW w:w="1550" w:type="pct"/>
            <w:vMerge w:val="restart"/>
            <w:vAlign w:val="center"/>
          </w:tcPr>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5.1.2.1 机构设置</w:t>
            </w:r>
          </w:p>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企业应落实安全生产组织领导机构，成立安全生产委员会，并应按照有关规定设置安全生产和职业卫生管理机构，或配备相应的专职或兼职安全生产和职业卫生管理人员，按照有关规定配备注册安全工程师，建立健全从管理机构到基层班组的管理网络。</w:t>
            </w:r>
          </w:p>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5.1.2.2 主要负责人及管理层职责</w:t>
            </w:r>
          </w:p>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企业主要负责人全面负责安全生产和职业卫生工作，并履行相应责任和义务。</w:t>
            </w:r>
          </w:p>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分管负责人应对各自职责范围内的安全生产和职业卫生工作负责。</w:t>
            </w:r>
          </w:p>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各级管理人员应按照安全生产和职业卫生责任制的相关要求，履行其安全生产和职业卫生职责。</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5.1.1 安全生产委员会</w:t>
            </w:r>
          </w:p>
          <w:p>
            <w:pPr>
              <w:snapToGrid w:val="0"/>
              <w:spacing w:line="240" w:lineRule="auto"/>
              <w:rPr>
                <w:rFonts w:hint="eastAsia" w:ascii="宋体" w:hAnsi="宋体" w:eastAsia="仿宋" w:cs="仿宋"/>
                <w:sz w:val="24"/>
              </w:rPr>
            </w:pPr>
            <w:r>
              <w:rPr>
                <w:rFonts w:hint="eastAsia" w:ascii="宋体" w:hAnsi="宋体" w:eastAsia="仿宋" w:cs="仿宋"/>
                <w:sz w:val="24"/>
              </w:rPr>
              <w:t>企业应成立安全生产委员会，负责统一领导和组织安全生产工作。</w:t>
            </w:r>
          </w:p>
          <w:p>
            <w:pPr>
              <w:snapToGrid w:val="0"/>
              <w:spacing w:line="240" w:lineRule="auto"/>
              <w:rPr>
                <w:rFonts w:hint="eastAsia" w:ascii="宋体" w:hAnsi="宋体" w:eastAsia="仿宋" w:cs="仿宋"/>
                <w:sz w:val="24"/>
              </w:rPr>
            </w:pPr>
            <w:r>
              <w:rPr>
                <w:rFonts w:hint="eastAsia" w:ascii="宋体" w:hAnsi="宋体" w:eastAsia="仿宋" w:cs="仿宋"/>
                <w:sz w:val="24"/>
              </w:rPr>
              <w:t>应定期召开安全生产委员会会议。</w:t>
            </w:r>
          </w:p>
          <w:p>
            <w:pPr>
              <w:snapToGrid w:val="0"/>
              <w:spacing w:line="240" w:lineRule="auto"/>
              <w:rPr>
                <w:rFonts w:hint="eastAsia" w:ascii="宋体" w:hAnsi="宋体" w:eastAsia="仿宋" w:cs="仿宋"/>
                <w:sz w:val="24"/>
              </w:rPr>
            </w:pPr>
            <w:r>
              <w:rPr>
                <w:rFonts w:hint="eastAsia" w:ascii="宋体" w:hAnsi="宋体" w:eastAsia="仿宋" w:cs="仿宋"/>
                <w:sz w:val="24"/>
              </w:rPr>
              <w:t>安全生产委员会应履行以下职责：</w:t>
            </w:r>
          </w:p>
          <w:p>
            <w:pPr>
              <w:snapToGrid w:val="0"/>
              <w:spacing w:line="240" w:lineRule="auto"/>
              <w:rPr>
                <w:rFonts w:hint="eastAsia" w:ascii="宋体" w:hAnsi="宋体" w:eastAsia="仿宋" w:cs="仿宋"/>
                <w:sz w:val="24"/>
              </w:rPr>
            </w:pPr>
            <w:r>
              <w:rPr>
                <w:rFonts w:hint="eastAsia" w:ascii="宋体" w:hAnsi="宋体" w:eastAsia="仿宋" w:cs="仿宋"/>
                <w:sz w:val="24"/>
              </w:rPr>
              <w:t>a</w:t>
            </w:r>
            <w:r>
              <w:rPr>
                <w:rFonts w:hint="eastAsia" w:ascii="宋体" w:hAnsi="宋体" w:eastAsia="仿宋" w:cs="仿宋"/>
                <w:sz w:val="24"/>
                <w:shd w:val="clear" w:color="auto" w:fill="FFFFFF"/>
              </w:rPr>
              <w:t>)</w:t>
            </w:r>
            <w:r>
              <w:rPr>
                <w:rFonts w:hint="eastAsia" w:ascii="宋体" w:hAnsi="宋体" w:eastAsia="仿宋" w:cs="仿宋"/>
                <w:sz w:val="24"/>
              </w:rPr>
              <w:t>学习贯彻落实各级政府、上级单位的决策部署；</w:t>
            </w:r>
          </w:p>
          <w:p>
            <w:pPr>
              <w:snapToGrid w:val="0"/>
              <w:spacing w:line="240" w:lineRule="auto"/>
              <w:rPr>
                <w:rFonts w:hint="eastAsia" w:ascii="宋体" w:hAnsi="宋体" w:eastAsia="仿宋" w:cs="仿宋"/>
                <w:sz w:val="24"/>
              </w:rPr>
            </w:pPr>
            <w:r>
              <w:rPr>
                <w:rFonts w:hint="eastAsia" w:ascii="宋体" w:hAnsi="宋体" w:eastAsia="仿宋" w:cs="仿宋"/>
                <w:sz w:val="24"/>
              </w:rPr>
              <w:t>b</w:t>
            </w:r>
            <w:r>
              <w:rPr>
                <w:rFonts w:hint="eastAsia" w:ascii="宋体" w:hAnsi="宋体" w:eastAsia="仿宋" w:cs="仿宋"/>
                <w:sz w:val="24"/>
                <w:shd w:val="clear" w:color="auto" w:fill="FFFFFF"/>
              </w:rPr>
              <w:t>)</w:t>
            </w:r>
            <w:r>
              <w:rPr>
                <w:rFonts w:hint="eastAsia" w:ascii="宋体" w:hAnsi="宋体" w:eastAsia="仿宋" w:cs="仿宋"/>
                <w:sz w:val="24"/>
              </w:rPr>
              <w:t>研究审议安全生产目标、任务；</w:t>
            </w:r>
          </w:p>
          <w:p>
            <w:pPr>
              <w:snapToGrid w:val="0"/>
              <w:spacing w:line="240" w:lineRule="auto"/>
              <w:rPr>
                <w:rFonts w:hint="eastAsia" w:ascii="宋体" w:hAnsi="宋体" w:eastAsia="仿宋" w:cs="仿宋"/>
                <w:sz w:val="24"/>
              </w:rPr>
            </w:pPr>
            <w:r>
              <w:rPr>
                <w:rFonts w:hint="eastAsia" w:ascii="宋体" w:hAnsi="宋体" w:eastAsia="仿宋" w:cs="仿宋"/>
                <w:sz w:val="24"/>
              </w:rPr>
              <w:t>c</w:t>
            </w:r>
            <w:r>
              <w:rPr>
                <w:rFonts w:hint="eastAsia" w:ascii="宋体" w:hAnsi="宋体" w:eastAsia="仿宋" w:cs="仿宋"/>
                <w:sz w:val="24"/>
                <w:shd w:val="clear" w:color="auto" w:fill="FFFFFF"/>
              </w:rPr>
              <w:t>)</w:t>
            </w:r>
            <w:r>
              <w:rPr>
                <w:rFonts w:hint="eastAsia" w:ascii="宋体" w:hAnsi="宋体" w:eastAsia="仿宋" w:cs="仿宋"/>
                <w:sz w:val="24"/>
              </w:rPr>
              <w:t>研究审议安全生产管理制度；</w:t>
            </w:r>
          </w:p>
          <w:p>
            <w:pPr>
              <w:snapToGrid w:val="0"/>
              <w:spacing w:line="240" w:lineRule="auto"/>
              <w:rPr>
                <w:rFonts w:hint="eastAsia" w:ascii="宋体" w:hAnsi="宋体" w:eastAsia="仿宋" w:cs="仿宋"/>
                <w:sz w:val="24"/>
              </w:rPr>
            </w:pPr>
            <w:r>
              <w:rPr>
                <w:rFonts w:hint="eastAsia" w:ascii="宋体" w:hAnsi="宋体" w:eastAsia="仿宋" w:cs="仿宋"/>
                <w:sz w:val="24"/>
              </w:rPr>
              <w:t>d</w:t>
            </w:r>
            <w:r>
              <w:rPr>
                <w:rFonts w:hint="eastAsia" w:ascii="宋体" w:hAnsi="宋体" w:eastAsia="仿宋" w:cs="仿宋"/>
                <w:sz w:val="24"/>
                <w:shd w:val="clear" w:color="auto" w:fill="FFFFFF"/>
              </w:rPr>
              <w:t>)</w:t>
            </w:r>
            <w:r>
              <w:rPr>
                <w:rFonts w:hint="eastAsia" w:ascii="宋体" w:hAnsi="宋体" w:eastAsia="仿宋" w:cs="仿宋"/>
                <w:sz w:val="24"/>
              </w:rPr>
              <w:t>听取成员单位工作汇报，协调安全生产重大问题；</w:t>
            </w:r>
          </w:p>
          <w:p>
            <w:pPr>
              <w:snapToGrid w:val="0"/>
              <w:spacing w:line="240" w:lineRule="auto"/>
              <w:rPr>
                <w:rFonts w:hint="eastAsia" w:ascii="宋体" w:hAnsi="宋体" w:eastAsia="仿宋" w:cs="仿宋"/>
                <w:sz w:val="24"/>
              </w:rPr>
            </w:pPr>
            <w:r>
              <w:rPr>
                <w:rFonts w:hint="eastAsia" w:ascii="宋体" w:hAnsi="宋体" w:eastAsia="仿宋" w:cs="仿宋"/>
                <w:sz w:val="24"/>
              </w:rPr>
              <w:t>e</w:t>
            </w:r>
            <w:r>
              <w:rPr>
                <w:rFonts w:hint="eastAsia" w:ascii="宋体" w:hAnsi="宋体" w:eastAsia="仿宋" w:cs="仿宋"/>
                <w:sz w:val="24"/>
                <w:shd w:val="clear" w:color="auto" w:fill="FFFFFF"/>
              </w:rPr>
              <w:t>)</w:t>
            </w:r>
            <w:r>
              <w:rPr>
                <w:rFonts w:hint="eastAsia" w:ascii="宋体" w:hAnsi="宋体" w:eastAsia="仿宋" w:cs="仿宋"/>
                <w:sz w:val="24"/>
              </w:rPr>
              <w:t>研究重大安全风险管控措施和需督办的重大事故隐患；</w:t>
            </w:r>
          </w:p>
          <w:p>
            <w:pPr>
              <w:snapToGrid w:val="0"/>
              <w:spacing w:line="240" w:lineRule="auto"/>
              <w:rPr>
                <w:rFonts w:hint="eastAsia" w:ascii="宋体" w:hAnsi="宋体" w:eastAsia="仿宋" w:cs="仿宋"/>
                <w:sz w:val="24"/>
              </w:rPr>
            </w:pPr>
            <w:r>
              <w:rPr>
                <w:rFonts w:hint="eastAsia" w:ascii="宋体" w:hAnsi="宋体" w:eastAsia="仿宋" w:cs="仿宋"/>
                <w:sz w:val="24"/>
              </w:rPr>
              <w:t>f</w:t>
            </w:r>
            <w:r>
              <w:rPr>
                <w:rFonts w:hint="eastAsia" w:ascii="宋体" w:hAnsi="宋体" w:eastAsia="仿宋" w:cs="仿宋"/>
                <w:sz w:val="24"/>
                <w:shd w:val="clear" w:color="auto" w:fill="FFFFFF"/>
              </w:rPr>
              <w:t>)</w:t>
            </w:r>
            <w:r>
              <w:rPr>
                <w:rFonts w:hint="eastAsia" w:ascii="宋体" w:hAnsi="宋体" w:eastAsia="仿宋" w:cs="仿宋"/>
                <w:sz w:val="24"/>
              </w:rPr>
              <w:t>研究安全生产绩效评价和奖惩方案；</w:t>
            </w:r>
          </w:p>
          <w:p>
            <w:pPr>
              <w:snapToGrid w:val="0"/>
              <w:spacing w:line="240" w:lineRule="auto"/>
              <w:rPr>
                <w:rFonts w:hint="eastAsia" w:ascii="宋体" w:hAnsi="宋体" w:eastAsia="仿宋" w:cs="仿宋"/>
                <w:sz w:val="24"/>
              </w:rPr>
            </w:pPr>
            <w:r>
              <w:rPr>
                <w:rFonts w:hint="eastAsia" w:ascii="宋体" w:hAnsi="宋体" w:eastAsia="仿宋" w:cs="仿宋"/>
                <w:sz w:val="24"/>
              </w:rPr>
              <w:t>g</w:t>
            </w:r>
            <w:r>
              <w:rPr>
                <w:rFonts w:hint="eastAsia" w:ascii="宋体" w:hAnsi="宋体" w:eastAsia="仿宋" w:cs="仿宋"/>
                <w:sz w:val="24"/>
                <w:shd w:val="clear" w:color="auto" w:fill="FFFFFF"/>
              </w:rPr>
              <w:t>)</w:t>
            </w:r>
            <w:r>
              <w:rPr>
                <w:rFonts w:hint="eastAsia" w:ascii="宋体" w:hAnsi="宋体" w:eastAsia="仿宋" w:cs="仿宋"/>
                <w:sz w:val="24"/>
              </w:rPr>
              <w:t>研究审议安全生产合规评价结果。</w:t>
            </w:r>
          </w:p>
          <w:p>
            <w:pPr>
              <w:snapToGrid w:val="0"/>
              <w:spacing w:line="240" w:lineRule="auto"/>
              <w:rPr>
                <w:rFonts w:hint="eastAsia" w:ascii="宋体" w:hAnsi="宋体" w:eastAsia="仿宋" w:cs="仿宋"/>
                <w:sz w:val="24"/>
              </w:rPr>
            </w:pPr>
            <w:r>
              <w:rPr>
                <w:rFonts w:hint="eastAsia" w:ascii="宋体" w:hAnsi="宋体" w:eastAsia="仿宋" w:cs="仿宋"/>
                <w:sz w:val="24"/>
              </w:rPr>
              <w:t>安全生产委员会主任应由企业主要负责人担任，成员至少包括安全生产管理机构、业务部门和工会等。应设立安全生产委员会办公室，负责安全生产委员会日常工作。</w:t>
            </w:r>
          </w:p>
        </w:tc>
        <w:tc>
          <w:tcPr>
            <w:tcW w:w="1657" w:type="pct"/>
            <w:vAlign w:val="center"/>
          </w:tcPr>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参考《中央企业安全生产监督管理办法》和《中华人民共和国安全生产法》，增加了安委会职责相关内容。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spacing w:line="240" w:lineRule="auto"/>
              <w:jc w:val="center"/>
              <w:rPr>
                <w:rFonts w:hint="eastAsia" w:ascii="宋体" w:hAnsi="宋体" w:eastAsia="仿宋" w:cs="仿宋"/>
                <w:sz w:val="24"/>
                <w:szCs w:val="24"/>
              </w:rPr>
            </w:pPr>
            <w:r>
              <w:rPr>
                <w:rFonts w:hint="eastAsia" w:ascii="宋体" w:hAnsi="宋体" w:eastAsia="仿宋" w:cs="仿宋"/>
                <w:sz w:val="24"/>
                <w:szCs w:val="24"/>
              </w:rPr>
              <w:t>6</w:t>
            </w:r>
          </w:p>
        </w:tc>
        <w:tc>
          <w:tcPr>
            <w:tcW w:w="1550" w:type="pct"/>
            <w:vMerge w:val="continue"/>
            <w:vAlign w:val="center"/>
          </w:tcPr>
          <w:p>
            <w:pPr>
              <w:spacing w:line="240" w:lineRule="auto"/>
              <w:jc w:val="left"/>
              <w:rPr>
                <w:rFonts w:hint="eastAsia" w:ascii="宋体" w:hAnsi="宋体" w:eastAsia="仿宋" w:cs="仿宋"/>
                <w:sz w:val="24"/>
                <w:szCs w:val="24"/>
              </w:rPr>
            </w:pP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5.1.2 安全生产管理机构</w:t>
            </w:r>
          </w:p>
          <w:p>
            <w:pPr>
              <w:snapToGrid w:val="0"/>
              <w:spacing w:line="240" w:lineRule="auto"/>
              <w:rPr>
                <w:rFonts w:hint="eastAsia" w:ascii="宋体" w:hAnsi="宋体" w:eastAsia="仿宋" w:cs="仿宋"/>
                <w:sz w:val="24"/>
              </w:rPr>
            </w:pPr>
            <w:r>
              <w:rPr>
                <w:rFonts w:hint="eastAsia" w:ascii="宋体" w:hAnsi="宋体" w:eastAsia="仿宋" w:cs="仿宋"/>
                <w:sz w:val="24"/>
              </w:rPr>
              <w:t>企业应按规定设置安全生产管理机构，发挥统筹、协调、指导和监督作用，加强考核巡查，督促各部门安全生产责任落实。</w:t>
            </w:r>
          </w:p>
          <w:p>
            <w:pPr>
              <w:snapToGrid w:val="0"/>
              <w:spacing w:line="240" w:lineRule="auto"/>
              <w:rPr>
                <w:rFonts w:hint="eastAsia" w:ascii="宋体" w:hAnsi="宋体" w:eastAsia="仿宋" w:cs="仿宋"/>
                <w:sz w:val="24"/>
              </w:rPr>
            </w:pPr>
            <w:r>
              <w:rPr>
                <w:rFonts w:hint="eastAsia" w:ascii="宋体" w:hAnsi="宋体" w:eastAsia="仿宋" w:cs="仿宋"/>
                <w:sz w:val="24"/>
              </w:rPr>
              <w:t>应明确安全生产管理人员任职资格、要求和数量，按要求配备专职或兼职的安全生产管理人员，按规定配备注册安全工程师。</w:t>
            </w:r>
          </w:p>
        </w:tc>
        <w:tc>
          <w:tcPr>
            <w:tcW w:w="1657" w:type="pct"/>
            <w:vAlign w:val="center"/>
          </w:tcPr>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参考《中央企业安全生产监督管理办法》和《中华人民共和国安全生产法》，结合大中型企业实际运行情况，增加了安全生产管理机构要素。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spacing w:line="240" w:lineRule="auto"/>
              <w:jc w:val="center"/>
              <w:rPr>
                <w:rFonts w:hint="eastAsia" w:ascii="宋体" w:hAnsi="宋体" w:eastAsia="仿宋" w:cs="仿宋"/>
                <w:sz w:val="24"/>
                <w:szCs w:val="24"/>
              </w:rPr>
            </w:pPr>
            <w:r>
              <w:rPr>
                <w:rFonts w:hint="eastAsia" w:ascii="宋体" w:hAnsi="宋体" w:eastAsia="仿宋" w:cs="仿宋"/>
                <w:sz w:val="24"/>
                <w:szCs w:val="24"/>
              </w:rPr>
              <w:t>7</w:t>
            </w:r>
          </w:p>
        </w:tc>
        <w:tc>
          <w:tcPr>
            <w:tcW w:w="1550" w:type="pct"/>
            <w:vAlign w:val="center"/>
          </w:tcPr>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5.1.3 业务部门</w:t>
            </w:r>
          </w:p>
          <w:p>
            <w:pPr>
              <w:snapToGrid w:val="0"/>
              <w:spacing w:line="240" w:lineRule="auto"/>
              <w:rPr>
                <w:rFonts w:hint="eastAsia" w:ascii="宋体" w:hAnsi="宋体" w:eastAsia="仿宋" w:cs="仿宋"/>
                <w:sz w:val="24"/>
              </w:rPr>
            </w:pPr>
            <w:r>
              <w:rPr>
                <w:rFonts w:hint="eastAsia" w:ascii="宋体" w:hAnsi="宋体" w:eastAsia="仿宋" w:cs="仿宋"/>
                <w:sz w:val="24"/>
              </w:rPr>
              <w:t>企业应明确各业务部门的具体安全生产管理职责。</w:t>
            </w:r>
          </w:p>
          <w:p>
            <w:pPr>
              <w:snapToGrid w:val="0"/>
              <w:spacing w:line="240" w:lineRule="auto"/>
              <w:rPr>
                <w:rFonts w:hint="eastAsia" w:ascii="宋体" w:hAnsi="宋体" w:eastAsia="仿宋" w:cs="仿宋"/>
                <w:sz w:val="24"/>
              </w:rPr>
            </w:pPr>
            <w:r>
              <w:rPr>
                <w:rFonts w:hint="eastAsia" w:ascii="宋体" w:hAnsi="宋体" w:eastAsia="仿宋" w:cs="仿宋"/>
                <w:sz w:val="24"/>
              </w:rPr>
              <w:t>业务部门应将安全生产管理职责分解到相应岗位，将安全生产工作融入本部门业务决策、执行和监督的全过程。</w:t>
            </w:r>
          </w:p>
        </w:tc>
        <w:tc>
          <w:tcPr>
            <w:tcW w:w="1657" w:type="pct"/>
            <w:vAlign w:val="center"/>
          </w:tcPr>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《中华人民共和国安全生产法》和《中央企业安全生产监督管理办法》等政策指出“三管三必须”是界定部门安全生产责任的重要原则，强调了业务部门在安全生产中的重要性，因此本标准增加了业务部门要素。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spacing w:line="240" w:lineRule="auto"/>
              <w:jc w:val="center"/>
              <w:rPr>
                <w:rFonts w:hint="eastAsia" w:ascii="宋体" w:hAnsi="宋体" w:eastAsia="仿宋" w:cs="仿宋"/>
                <w:sz w:val="24"/>
                <w:szCs w:val="24"/>
              </w:rPr>
            </w:pPr>
            <w:r>
              <w:rPr>
                <w:rFonts w:hint="eastAsia" w:ascii="宋体" w:hAnsi="宋体" w:eastAsia="仿宋" w:cs="仿宋"/>
                <w:sz w:val="24"/>
                <w:szCs w:val="24"/>
              </w:rPr>
              <w:t>8</w:t>
            </w:r>
          </w:p>
        </w:tc>
        <w:tc>
          <w:tcPr>
            <w:tcW w:w="1550" w:type="pct"/>
            <w:vAlign w:val="center"/>
          </w:tcPr>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5.1.4 班组</w:t>
            </w:r>
          </w:p>
          <w:p>
            <w:pPr>
              <w:snapToGrid w:val="0"/>
              <w:spacing w:line="240" w:lineRule="auto"/>
              <w:rPr>
                <w:rFonts w:hint="eastAsia" w:ascii="宋体" w:hAnsi="宋体" w:eastAsia="仿宋" w:cs="仿宋"/>
                <w:sz w:val="24"/>
              </w:rPr>
            </w:pPr>
            <w:r>
              <w:rPr>
                <w:rFonts w:hint="eastAsia" w:ascii="宋体" w:hAnsi="宋体" w:eastAsia="仿宋" w:cs="仿宋"/>
                <w:sz w:val="24"/>
              </w:rPr>
              <w:t>企业应加强班组建设，按规定开展安全培训、操作技能训练、岗位作业安全风险管控、作业现场隐患排查治理、事故和未遂事故分析等工作，发挥班组在安全生产中的基础支撑作用。</w:t>
            </w:r>
          </w:p>
          <w:p>
            <w:pPr>
              <w:snapToGrid w:val="0"/>
              <w:spacing w:line="240" w:lineRule="auto"/>
              <w:rPr>
                <w:rFonts w:hint="eastAsia" w:ascii="宋体" w:hAnsi="宋体" w:eastAsia="仿宋" w:cs="仿宋"/>
                <w:sz w:val="24"/>
              </w:rPr>
            </w:pPr>
            <w:r>
              <w:rPr>
                <w:rFonts w:hint="eastAsia" w:ascii="宋体" w:hAnsi="宋体" w:eastAsia="仿宋" w:cs="仿宋"/>
                <w:sz w:val="24"/>
              </w:rPr>
              <w:t>宜建立班组长的选聘、培养、考核、激励和退出机制，提高班组长的综合素质与能力。</w:t>
            </w:r>
          </w:p>
        </w:tc>
        <w:tc>
          <w:tcPr>
            <w:tcW w:w="1657" w:type="pct"/>
            <w:vAlign w:val="center"/>
          </w:tcPr>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班组是企业中最基层的组织，承担着战略执行、管理落实、保安兴安、创新创效、文化落地等一系列重任，《关于加强班组建设的指导意见》中从10个方面对班组建设提出了工作要求，明确了班组在企业安全管理中的重要性，因此本标准中增加了班组要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9</w:t>
            </w:r>
          </w:p>
        </w:tc>
        <w:tc>
          <w:tcPr>
            <w:tcW w:w="1550" w:type="pct"/>
            <w:vAlign w:val="center"/>
          </w:tcPr>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5.2 责任保障</w:t>
            </w:r>
          </w:p>
          <w:p>
            <w:pPr>
              <w:snapToGrid w:val="0"/>
              <w:spacing w:line="240" w:lineRule="auto"/>
              <w:rPr>
                <w:rFonts w:hint="eastAsia" w:ascii="宋体" w:hAnsi="宋体" w:eastAsia="仿宋" w:cs="仿宋"/>
                <w:sz w:val="24"/>
              </w:rPr>
            </w:pPr>
            <w:r>
              <w:rPr>
                <w:rFonts w:hint="eastAsia" w:ascii="宋体" w:hAnsi="宋体" w:eastAsia="仿宋" w:cs="仿宋"/>
                <w:sz w:val="24"/>
              </w:rPr>
              <w:t>企业应建立全员安全生产责任制，明确各层级、各岗位的责任范围和考核标准等内容，并按规定进行培训和公示。</w:t>
            </w:r>
          </w:p>
          <w:p>
            <w:pPr>
              <w:snapToGrid w:val="0"/>
              <w:spacing w:line="240" w:lineRule="auto"/>
              <w:rPr>
                <w:rFonts w:hint="eastAsia" w:ascii="宋体" w:hAnsi="宋体" w:eastAsia="仿宋" w:cs="仿宋"/>
                <w:sz w:val="24"/>
              </w:rPr>
            </w:pPr>
            <w:r>
              <w:rPr>
                <w:rFonts w:hint="eastAsia" w:ascii="宋体" w:hAnsi="宋体" w:eastAsia="仿宋" w:cs="仿宋"/>
                <w:sz w:val="24"/>
              </w:rPr>
              <w:t>全员安全生产责任制内容应简明扼要、清晰明确、便于操作，并适时更新。</w:t>
            </w:r>
          </w:p>
          <w:p>
            <w:pPr>
              <w:snapToGrid w:val="0"/>
              <w:spacing w:line="240" w:lineRule="auto"/>
              <w:rPr>
                <w:rFonts w:hint="eastAsia" w:ascii="宋体" w:hAnsi="宋体" w:eastAsia="仿宋" w:cs="仿宋"/>
                <w:sz w:val="24"/>
              </w:rPr>
            </w:pPr>
            <w:r>
              <w:rPr>
                <w:rFonts w:hint="eastAsia" w:ascii="宋体" w:hAnsi="宋体" w:eastAsia="仿宋" w:cs="仿宋"/>
                <w:sz w:val="24"/>
              </w:rPr>
              <w:t>企业应定期对全员安全生产责任制的落实情况进行监督考核，保证全员安全生产责任制的落实。</w:t>
            </w:r>
          </w:p>
        </w:tc>
        <w:tc>
          <w:tcPr>
            <w:tcW w:w="1657" w:type="pct"/>
            <w:vAlign w:val="center"/>
          </w:tcPr>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参考《中华人民共和国安全生产法》和《中央企业安全生产监督管理办法》，对全员安全生产责任制提出了明确要求，全员安全生产责任制是企业岗位责任制的细化，是安全生产管理的基本核心制度，因此本标准新增了责任保障要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10</w:t>
            </w:r>
          </w:p>
        </w:tc>
        <w:tc>
          <w:tcPr>
            <w:tcW w:w="1550" w:type="pct"/>
            <w:vAlign w:val="center"/>
          </w:tcPr>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5.2.4 文档管理</w:t>
            </w:r>
          </w:p>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条款5.2.4.1 企业应建立文件和记录管理制度，明确安全生产和职业卫生规章制度、操作规程的编制、评审、发布、使用、修订、作废以及文件和记录管理的职责、程序和要求。</w:t>
            </w:r>
          </w:p>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企业应建立健全主要安全生产和职业卫生过程与结果的记录，并建立和保存有关记录的电子档案，支持查询和检索，便于自身管理使用和行政主管部门调取检查。</w:t>
            </w:r>
          </w:p>
          <w:p>
            <w:pPr>
              <w:spacing w:line="240" w:lineRule="auto"/>
              <w:rPr>
                <w:rFonts w:hint="eastAsia" w:ascii="宋体" w:hAnsi="宋体" w:eastAsia="仿宋" w:cs="仿宋"/>
                <w:sz w:val="24"/>
                <w:szCs w:val="24"/>
              </w:rPr>
            </w:pPr>
            <w:r>
              <w:rPr>
                <w:rFonts w:hint="eastAsia" w:ascii="宋体" w:hAnsi="宋体" w:eastAsia="仿宋" w:cs="仿宋"/>
                <w:sz w:val="24"/>
                <w:szCs w:val="24"/>
              </w:rPr>
              <w:t>条款5.2.4.2 企业应每年至少评估一次安全生产和职业卫生法律法规、标准规范、规章制度、操作规程的适宜性、有效性和执行情况。</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5.3.1 文件管理</w:t>
            </w:r>
          </w:p>
          <w:p>
            <w:pPr>
              <w:snapToGrid w:val="0"/>
              <w:spacing w:line="240" w:lineRule="auto"/>
              <w:rPr>
                <w:rFonts w:hint="eastAsia" w:ascii="宋体" w:hAnsi="宋体" w:eastAsia="仿宋" w:cs="仿宋"/>
                <w:sz w:val="24"/>
              </w:rPr>
            </w:pPr>
            <w:r>
              <w:rPr>
                <w:rFonts w:hint="eastAsia" w:ascii="宋体" w:hAnsi="宋体" w:eastAsia="仿宋" w:cs="仿宋"/>
                <w:sz w:val="24"/>
              </w:rPr>
              <w:t>企业应明确安全生产相关文件的编制、评审、发布、使用、修订、归档、保存、废止等管理要求。</w:t>
            </w:r>
          </w:p>
          <w:p>
            <w:pPr>
              <w:snapToGrid w:val="0"/>
              <w:spacing w:line="240" w:lineRule="auto"/>
              <w:rPr>
                <w:rFonts w:hint="eastAsia" w:ascii="宋体" w:hAnsi="宋体" w:eastAsia="仿宋" w:cs="仿宋"/>
                <w:sz w:val="24"/>
              </w:rPr>
            </w:pPr>
            <w:r>
              <w:rPr>
                <w:rFonts w:hint="eastAsia" w:ascii="宋体" w:hAnsi="宋体" w:eastAsia="仿宋" w:cs="仿宋"/>
                <w:sz w:val="24"/>
              </w:rPr>
              <w:t>安全生产相关文件包括但不限于以下内容：</w:t>
            </w:r>
          </w:p>
          <w:p>
            <w:pPr>
              <w:snapToGrid w:val="0"/>
              <w:spacing w:line="240" w:lineRule="auto"/>
              <w:rPr>
                <w:rFonts w:hint="eastAsia" w:ascii="宋体" w:hAnsi="宋体" w:eastAsia="仿宋" w:cs="仿宋"/>
                <w:sz w:val="24"/>
              </w:rPr>
            </w:pPr>
            <w:r>
              <w:rPr>
                <w:rFonts w:hint="eastAsia" w:ascii="宋体" w:hAnsi="宋体" w:eastAsia="仿宋" w:cs="仿宋"/>
                <w:sz w:val="24"/>
              </w:rPr>
              <w:t>a</w:t>
            </w:r>
            <w:r>
              <w:rPr>
                <w:rFonts w:hint="eastAsia" w:ascii="宋体" w:hAnsi="宋体" w:eastAsia="仿宋" w:cs="仿宋"/>
                <w:sz w:val="24"/>
                <w:shd w:val="clear" w:color="auto" w:fill="FFFFFF"/>
              </w:rPr>
              <w:t>)</w:t>
            </w:r>
            <w:r>
              <w:rPr>
                <w:rFonts w:hint="eastAsia" w:ascii="宋体" w:hAnsi="宋体" w:eastAsia="仿宋" w:cs="仿宋"/>
                <w:sz w:val="24"/>
              </w:rPr>
              <w:t>安全生产管理相关的规定、办法、制度、细则、指导意见、指引等；</w:t>
            </w:r>
          </w:p>
          <w:p>
            <w:pPr>
              <w:snapToGrid w:val="0"/>
              <w:spacing w:line="240" w:lineRule="auto"/>
              <w:rPr>
                <w:rFonts w:hint="eastAsia" w:ascii="宋体" w:hAnsi="宋体" w:eastAsia="仿宋" w:cs="仿宋"/>
                <w:sz w:val="24"/>
              </w:rPr>
            </w:pPr>
            <w:r>
              <w:rPr>
                <w:rFonts w:hint="eastAsia" w:ascii="宋体" w:hAnsi="宋体" w:eastAsia="仿宋" w:cs="仿宋"/>
                <w:sz w:val="24"/>
              </w:rPr>
              <w:t>b</w:t>
            </w:r>
            <w:r>
              <w:rPr>
                <w:rFonts w:hint="eastAsia" w:ascii="宋体" w:hAnsi="宋体" w:eastAsia="仿宋" w:cs="仿宋"/>
                <w:sz w:val="24"/>
                <w:shd w:val="clear" w:color="auto" w:fill="FFFFFF"/>
              </w:rPr>
              <w:t>)</w:t>
            </w:r>
            <w:r>
              <w:rPr>
                <w:rFonts w:hint="eastAsia" w:ascii="宋体" w:hAnsi="宋体" w:eastAsia="仿宋" w:cs="仿宋"/>
                <w:sz w:val="24"/>
              </w:rPr>
              <w:t>安全生产技术相关的规程、标准、图纸、清单、应急预案等；</w:t>
            </w:r>
          </w:p>
          <w:p>
            <w:pPr>
              <w:snapToGrid w:val="0"/>
              <w:spacing w:line="240" w:lineRule="auto"/>
              <w:rPr>
                <w:rFonts w:hint="eastAsia" w:ascii="宋体" w:hAnsi="宋体" w:eastAsia="仿宋" w:cs="仿宋"/>
                <w:sz w:val="24"/>
              </w:rPr>
            </w:pPr>
            <w:r>
              <w:rPr>
                <w:rFonts w:hint="eastAsia" w:ascii="宋体" w:hAnsi="宋体" w:eastAsia="仿宋" w:cs="仿宋"/>
                <w:sz w:val="24"/>
              </w:rPr>
              <w:t>c</w:t>
            </w:r>
            <w:r>
              <w:rPr>
                <w:rFonts w:hint="eastAsia" w:ascii="宋体" w:hAnsi="宋体" w:eastAsia="仿宋" w:cs="仿宋"/>
                <w:sz w:val="24"/>
                <w:shd w:val="clear" w:color="auto" w:fill="FFFFFF"/>
              </w:rPr>
              <w:t>)</w:t>
            </w:r>
            <w:r>
              <w:rPr>
                <w:rFonts w:hint="eastAsia" w:ascii="宋体" w:hAnsi="宋体" w:eastAsia="仿宋" w:cs="仿宋"/>
                <w:sz w:val="24"/>
              </w:rPr>
              <w:t>安全生产相关记录等。</w:t>
            </w:r>
          </w:p>
          <w:p>
            <w:pPr>
              <w:snapToGrid w:val="0"/>
              <w:spacing w:line="240" w:lineRule="auto"/>
              <w:rPr>
                <w:rFonts w:hint="eastAsia" w:ascii="宋体" w:hAnsi="宋体" w:eastAsia="仿宋" w:cs="仿宋"/>
                <w:sz w:val="24"/>
              </w:rPr>
            </w:pPr>
            <w:r>
              <w:rPr>
                <w:rFonts w:hint="eastAsia" w:ascii="宋体" w:hAnsi="宋体" w:eastAsia="仿宋" w:cs="仿宋"/>
                <w:sz w:val="24"/>
              </w:rPr>
              <w:t>企业应定期评估安全生产相关文件的适宜性、充分性和执行情况，及时更新，保持有效状态，并确保从业人员及时获取。</w:t>
            </w:r>
          </w:p>
        </w:tc>
        <w:tc>
          <w:tcPr>
            <w:tcW w:w="1657" w:type="pct"/>
            <w:vAlign w:val="center"/>
          </w:tcPr>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参考《企业档案管理规定》，修订此条。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11</w:t>
            </w:r>
          </w:p>
        </w:tc>
        <w:tc>
          <w:tcPr>
            <w:tcW w:w="1550" w:type="pct"/>
            <w:vAlign w:val="center"/>
          </w:tcPr>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5.2.2 规章制度</w:t>
            </w:r>
          </w:p>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企业应建立健全安全生产和职业卫生规章制度，并征求工会及从业人员意见和建议，规范安全生产和职业卫生管理工作。</w:t>
            </w:r>
          </w:p>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企业应确保从业人员及时获取制度文本。</w:t>
            </w:r>
          </w:p>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企业安全生产和职业卫生规章制度包括但不限于下列内容：</w:t>
            </w:r>
          </w:p>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----目标管理；</w:t>
            </w:r>
          </w:p>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----安全生产和职业卫生责任制；</w:t>
            </w:r>
          </w:p>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----安全生产承诺；</w:t>
            </w:r>
          </w:p>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----安全生产投入；</w:t>
            </w:r>
          </w:p>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----安全生产信息化；</w:t>
            </w:r>
          </w:p>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----四新（新技术、新材料、新工艺、新设备设施）管理；</w:t>
            </w:r>
          </w:p>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----文件、记录和档案管理；</w:t>
            </w:r>
          </w:p>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----安全风险管理、隐患排查治理；</w:t>
            </w:r>
          </w:p>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----职业病危害防治；</w:t>
            </w:r>
          </w:p>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----教育培训；</w:t>
            </w:r>
          </w:p>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----班组安全活动；</w:t>
            </w:r>
          </w:p>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----特种作业人员管理；</w:t>
            </w:r>
          </w:p>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----建设项目安全设施、职业病防护设施“三同时”管理；</w:t>
            </w:r>
          </w:p>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w:t>
            </w:r>
            <w:r>
              <w:rPr>
                <w:rFonts w:hint="eastAsia" w:ascii="宋体" w:hAnsi="宋体" w:eastAsia="仿宋" w:cs="仿宋"/>
                <w:sz w:val="24"/>
                <w:szCs w:val="24"/>
                <w:shd w:val="clear" w:color="auto" w:fill="FFFFFF"/>
              </w:rPr>
              <w:t>-</w:t>
            </w:r>
            <w:r>
              <w:rPr>
                <w:rFonts w:hint="eastAsia" w:ascii="宋体" w:hAnsi="宋体" w:eastAsia="仿宋" w:cs="仿宋"/>
                <w:sz w:val="24"/>
                <w:szCs w:val="24"/>
              </w:rPr>
              <w:t>设备设施管理；</w:t>
            </w:r>
          </w:p>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----施工和检维修安全管理；</w:t>
            </w:r>
          </w:p>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----危险物品管理；</w:t>
            </w:r>
          </w:p>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----危险作业安全管理；</w:t>
            </w:r>
          </w:p>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----安全警示标志管理；</w:t>
            </w:r>
          </w:p>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----安全预测预警；</w:t>
            </w:r>
          </w:p>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----安全生产奖惩管理；</w:t>
            </w:r>
          </w:p>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----相关方安全管理；</w:t>
            </w:r>
          </w:p>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----变更管理；</w:t>
            </w:r>
          </w:p>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----个体防护用品管理；</w:t>
            </w:r>
          </w:p>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w:t>
            </w:r>
            <w:r>
              <w:rPr>
                <w:rFonts w:hint="eastAsia" w:ascii="宋体" w:hAnsi="宋体" w:eastAsia="仿宋" w:cs="仿宋"/>
                <w:sz w:val="24"/>
                <w:szCs w:val="24"/>
                <w:shd w:val="clear" w:color="auto" w:fill="FFFFFF"/>
              </w:rPr>
              <w:t>-</w:t>
            </w:r>
            <w:r>
              <w:rPr>
                <w:rFonts w:hint="eastAsia" w:ascii="宋体" w:hAnsi="宋体" w:eastAsia="仿宋" w:cs="仿宋"/>
                <w:sz w:val="24"/>
                <w:szCs w:val="24"/>
              </w:rPr>
              <w:t>应急管理；</w:t>
            </w:r>
          </w:p>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----事故管理；</w:t>
            </w:r>
          </w:p>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----安全生产报告；</w:t>
            </w:r>
          </w:p>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w:t>
            </w:r>
            <w:r>
              <w:rPr>
                <w:rFonts w:hint="eastAsia" w:ascii="宋体" w:hAnsi="宋体" w:eastAsia="仿宋" w:cs="仿宋"/>
                <w:sz w:val="24"/>
                <w:szCs w:val="24"/>
                <w:shd w:val="clear" w:color="auto" w:fill="FFFFFF"/>
              </w:rPr>
              <w:t>-</w:t>
            </w:r>
            <w:r>
              <w:rPr>
                <w:rFonts w:hint="eastAsia" w:ascii="宋体" w:hAnsi="宋体" w:eastAsia="仿宋" w:cs="仿宋"/>
                <w:sz w:val="24"/>
                <w:szCs w:val="24"/>
              </w:rPr>
              <w:t>绩效评定管理。</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5.3.2 规章制度</w:t>
            </w:r>
          </w:p>
          <w:p>
            <w:pPr>
              <w:snapToGrid w:val="0"/>
              <w:spacing w:line="240" w:lineRule="auto"/>
              <w:rPr>
                <w:rFonts w:hint="eastAsia" w:ascii="宋体" w:hAnsi="宋体" w:eastAsia="仿宋" w:cs="仿宋"/>
                <w:sz w:val="24"/>
              </w:rPr>
            </w:pPr>
            <w:r>
              <w:rPr>
                <w:rFonts w:hint="eastAsia" w:ascii="宋体" w:hAnsi="宋体" w:eastAsia="仿宋" w:cs="仿宋"/>
                <w:sz w:val="24"/>
              </w:rPr>
              <w:t>企业应建立健全安全生产规章制度，规范安全生产管理工作。</w:t>
            </w:r>
          </w:p>
          <w:p>
            <w:pPr>
              <w:snapToGrid w:val="0"/>
              <w:spacing w:line="240" w:lineRule="auto"/>
              <w:rPr>
                <w:rFonts w:hint="eastAsia" w:ascii="宋体" w:hAnsi="宋体" w:eastAsia="仿宋" w:cs="仿宋"/>
                <w:sz w:val="24"/>
              </w:rPr>
            </w:pPr>
            <w:r>
              <w:rPr>
                <w:rFonts w:hint="eastAsia" w:ascii="宋体" w:hAnsi="宋体" w:eastAsia="仿宋" w:cs="仿宋"/>
                <w:sz w:val="24"/>
              </w:rPr>
              <w:t>制定规章制度时应考虑：</w:t>
            </w:r>
          </w:p>
          <w:p>
            <w:pPr>
              <w:snapToGrid w:val="0"/>
              <w:spacing w:line="240" w:lineRule="auto"/>
              <w:rPr>
                <w:rFonts w:hint="eastAsia" w:ascii="宋体" w:hAnsi="宋体" w:eastAsia="仿宋" w:cs="仿宋"/>
                <w:sz w:val="24"/>
              </w:rPr>
            </w:pPr>
            <w:r>
              <w:rPr>
                <w:rFonts w:hint="eastAsia" w:ascii="宋体" w:hAnsi="宋体" w:eastAsia="仿宋" w:cs="仿宋"/>
                <w:sz w:val="24"/>
              </w:rPr>
              <w:t>a</w:t>
            </w:r>
            <w:r>
              <w:rPr>
                <w:rFonts w:hint="eastAsia" w:ascii="宋体" w:hAnsi="宋体" w:eastAsia="仿宋" w:cs="仿宋"/>
                <w:sz w:val="24"/>
                <w:shd w:val="clear" w:color="auto" w:fill="FFFFFF"/>
              </w:rPr>
              <w:t>)</w:t>
            </w:r>
            <w:r>
              <w:rPr>
                <w:rFonts w:hint="eastAsia" w:ascii="宋体" w:hAnsi="宋体" w:eastAsia="仿宋" w:cs="仿宋"/>
                <w:sz w:val="24"/>
              </w:rPr>
              <w:t>安全生产相关法律法规、标准规范和其他要求；</w:t>
            </w:r>
          </w:p>
          <w:p>
            <w:pPr>
              <w:snapToGrid w:val="0"/>
              <w:spacing w:line="240" w:lineRule="auto"/>
              <w:rPr>
                <w:rFonts w:hint="eastAsia" w:ascii="宋体" w:hAnsi="宋体" w:eastAsia="仿宋" w:cs="仿宋"/>
                <w:sz w:val="24"/>
              </w:rPr>
            </w:pPr>
            <w:r>
              <w:rPr>
                <w:rFonts w:hint="eastAsia" w:ascii="宋体" w:hAnsi="宋体" w:eastAsia="仿宋" w:cs="仿宋"/>
                <w:sz w:val="24"/>
              </w:rPr>
              <w:t>b</w:t>
            </w:r>
            <w:r>
              <w:rPr>
                <w:rFonts w:hint="eastAsia" w:ascii="宋体" w:hAnsi="宋体" w:eastAsia="仿宋" w:cs="仿宋"/>
                <w:sz w:val="24"/>
                <w:shd w:val="clear" w:color="auto" w:fill="FFFFFF"/>
              </w:rPr>
              <w:t>)</w:t>
            </w:r>
            <w:r>
              <w:rPr>
                <w:rFonts w:hint="eastAsia" w:ascii="宋体" w:hAnsi="宋体" w:eastAsia="仿宋" w:cs="仿宋"/>
                <w:sz w:val="24"/>
              </w:rPr>
              <w:t>与企业现行管理制度相融合；</w:t>
            </w:r>
          </w:p>
          <w:p>
            <w:pPr>
              <w:snapToGrid w:val="0"/>
              <w:spacing w:line="240" w:lineRule="auto"/>
              <w:rPr>
                <w:rFonts w:hint="eastAsia" w:ascii="宋体" w:hAnsi="宋体" w:eastAsia="仿宋" w:cs="仿宋"/>
                <w:sz w:val="24"/>
              </w:rPr>
            </w:pPr>
            <w:r>
              <w:rPr>
                <w:rFonts w:hint="eastAsia" w:ascii="宋体" w:hAnsi="宋体" w:eastAsia="仿宋" w:cs="仿宋"/>
                <w:sz w:val="24"/>
              </w:rPr>
              <w:t>c</w:t>
            </w:r>
            <w:r>
              <w:rPr>
                <w:rFonts w:hint="eastAsia" w:ascii="宋体" w:hAnsi="宋体" w:eastAsia="仿宋" w:cs="仿宋"/>
                <w:sz w:val="24"/>
                <w:shd w:val="clear" w:color="auto" w:fill="FFFFFF"/>
              </w:rPr>
              <w:t>)</w:t>
            </w:r>
            <w:r>
              <w:rPr>
                <w:rFonts w:hint="eastAsia" w:ascii="宋体" w:hAnsi="宋体" w:eastAsia="仿宋" w:cs="仿宋"/>
                <w:sz w:val="24"/>
              </w:rPr>
              <w:t>本企业安全生产实际；</w:t>
            </w:r>
          </w:p>
          <w:p>
            <w:pPr>
              <w:snapToGrid w:val="0"/>
              <w:spacing w:line="240" w:lineRule="auto"/>
              <w:rPr>
                <w:rFonts w:hint="eastAsia" w:ascii="宋体" w:hAnsi="宋体" w:eastAsia="仿宋" w:cs="仿宋"/>
                <w:sz w:val="24"/>
              </w:rPr>
            </w:pPr>
            <w:r>
              <w:rPr>
                <w:rFonts w:hint="eastAsia" w:ascii="宋体" w:hAnsi="宋体" w:eastAsia="仿宋" w:cs="仿宋"/>
                <w:sz w:val="24"/>
              </w:rPr>
              <w:t>工会及从业人员意见和建议。</w:t>
            </w:r>
          </w:p>
          <w:p>
            <w:pPr>
              <w:snapToGrid w:val="0"/>
              <w:spacing w:line="240" w:lineRule="auto"/>
              <w:rPr>
                <w:rFonts w:hint="eastAsia" w:ascii="宋体" w:hAnsi="宋体" w:eastAsia="仿宋" w:cs="仿宋"/>
                <w:sz w:val="24"/>
              </w:rPr>
            </w:pPr>
          </w:p>
          <w:p>
            <w:pPr>
              <w:snapToGrid w:val="0"/>
              <w:spacing w:line="240" w:lineRule="auto"/>
              <w:rPr>
                <w:rFonts w:hint="eastAsia" w:ascii="宋体" w:hAnsi="宋体" w:eastAsia="仿宋" w:cs="仿宋"/>
                <w:sz w:val="24"/>
              </w:rPr>
            </w:pPr>
          </w:p>
          <w:p>
            <w:pPr>
              <w:snapToGrid w:val="0"/>
              <w:spacing w:line="240" w:lineRule="auto"/>
              <w:rPr>
                <w:rFonts w:hint="eastAsia" w:ascii="宋体" w:hAnsi="宋体" w:eastAsia="仿宋" w:cs="仿宋"/>
                <w:sz w:val="24"/>
              </w:rPr>
            </w:pPr>
          </w:p>
          <w:p>
            <w:pPr>
              <w:snapToGrid w:val="0"/>
              <w:spacing w:line="240" w:lineRule="auto"/>
              <w:rPr>
                <w:rFonts w:hint="eastAsia" w:ascii="宋体" w:hAnsi="宋体" w:eastAsia="仿宋" w:cs="仿宋"/>
                <w:sz w:val="24"/>
              </w:rPr>
            </w:pPr>
          </w:p>
        </w:tc>
        <w:tc>
          <w:tcPr>
            <w:tcW w:w="1657" w:type="pct"/>
            <w:vAlign w:val="center"/>
          </w:tcPr>
          <w:p>
            <w:pPr>
              <w:spacing w:line="240" w:lineRule="auto"/>
              <w:rPr>
                <w:rFonts w:hint="eastAsia" w:ascii="宋体" w:hAnsi="宋体" w:eastAsia="仿宋" w:cs="仿宋"/>
                <w:sz w:val="24"/>
                <w:szCs w:val="24"/>
              </w:rPr>
            </w:pPr>
            <w:r>
              <w:rPr>
                <w:rFonts w:hint="eastAsia" w:ascii="宋体" w:hAnsi="宋体" w:eastAsia="仿宋" w:cs="仿宋"/>
                <w:sz w:val="24"/>
                <w:szCs w:val="24"/>
              </w:rPr>
              <w:t>不同类型企业制定的规章制度不尽相同，且《中华人民共和国安全生产法》和《中央企业安全生产监督管理办法》等对规章制度的制定有更具体和明确的规定，因此在此标准中不宜赘述，仅对制定规章制度时需考虑的因素</w:t>
            </w:r>
            <w:r>
              <w:rPr>
                <w:rFonts w:hint="eastAsia" w:ascii="宋体" w:hAnsi="宋体" w:eastAsia="仿宋" w:cs="仿宋"/>
                <w:sz w:val="24"/>
                <w:szCs w:val="24"/>
                <w:shd w:val="clear" w:fill="FFFFFF"/>
              </w:rPr>
              <w:t>作提示</w:t>
            </w:r>
            <w:r>
              <w:rPr>
                <w:rFonts w:hint="eastAsia" w:ascii="宋体" w:hAnsi="宋体" w:eastAsia="仿宋" w:cs="仿宋"/>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12</w:t>
            </w:r>
          </w:p>
        </w:tc>
        <w:tc>
          <w:tcPr>
            <w:tcW w:w="1550" w:type="pct"/>
            <w:vAlign w:val="center"/>
          </w:tcPr>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5.2.3 操作规程</w:t>
            </w:r>
          </w:p>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企业应按照有关规定，结合本企业生产工艺、作业任务特点以及岗位作业安全风险与职业病防护要求，编制齐全适用的岗位安全生产和职业卫生操作规程，发放到相关岗位员工，并严格执行。</w:t>
            </w:r>
          </w:p>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企业应确保从业人员参与岗位安全生产和职业卫生操作规程的编制和修订工作。</w:t>
            </w:r>
          </w:p>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企业应在新技术、新材料、新工艺、新设备设施投入使用前，组织制修订相应的安全生产和职业卫生操作规程，确保其适宜性和有效性。</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5.3.3 操作规程</w:t>
            </w:r>
          </w:p>
          <w:p>
            <w:pPr>
              <w:snapToGrid w:val="0"/>
              <w:spacing w:line="240" w:lineRule="auto"/>
              <w:rPr>
                <w:rFonts w:hint="eastAsia" w:ascii="宋体" w:hAnsi="宋体" w:eastAsia="仿宋" w:cs="仿宋"/>
                <w:sz w:val="24"/>
              </w:rPr>
            </w:pPr>
            <w:r>
              <w:rPr>
                <w:rFonts w:hint="eastAsia" w:ascii="宋体" w:hAnsi="宋体" w:eastAsia="仿宋" w:cs="仿宋"/>
                <w:sz w:val="24"/>
              </w:rPr>
              <w:t>制定操作规程时应考虑：</w:t>
            </w:r>
          </w:p>
          <w:p>
            <w:pPr>
              <w:snapToGrid w:val="0"/>
              <w:spacing w:line="240" w:lineRule="auto"/>
              <w:rPr>
                <w:rFonts w:hint="eastAsia" w:ascii="宋体" w:hAnsi="宋体" w:eastAsia="仿宋" w:cs="仿宋"/>
                <w:sz w:val="24"/>
              </w:rPr>
            </w:pPr>
            <w:r>
              <w:rPr>
                <w:rFonts w:hint="eastAsia" w:ascii="宋体" w:hAnsi="宋体" w:eastAsia="仿宋" w:cs="仿宋"/>
                <w:sz w:val="24"/>
              </w:rPr>
              <w:t>a</w:t>
            </w:r>
            <w:r>
              <w:rPr>
                <w:rFonts w:hint="eastAsia" w:ascii="宋体" w:hAnsi="宋体" w:eastAsia="仿宋" w:cs="仿宋"/>
                <w:sz w:val="24"/>
                <w:shd w:val="clear" w:color="auto" w:fill="FFFFFF"/>
              </w:rPr>
              <w:t>)</w:t>
            </w:r>
            <w:r>
              <w:rPr>
                <w:rFonts w:hint="eastAsia" w:ascii="宋体" w:hAnsi="宋体" w:eastAsia="仿宋" w:cs="仿宋"/>
                <w:sz w:val="24"/>
              </w:rPr>
              <w:t>安全生产相关法律法规、标准规范和其他要求；</w:t>
            </w:r>
          </w:p>
          <w:p>
            <w:pPr>
              <w:snapToGrid w:val="0"/>
              <w:spacing w:line="240" w:lineRule="auto"/>
              <w:rPr>
                <w:rFonts w:hint="eastAsia" w:ascii="宋体" w:hAnsi="宋体" w:eastAsia="仿宋" w:cs="仿宋"/>
                <w:sz w:val="24"/>
              </w:rPr>
            </w:pPr>
            <w:r>
              <w:rPr>
                <w:rFonts w:hint="eastAsia" w:ascii="宋体" w:hAnsi="宋体" w:eastAsia="仿宋" w:cs="仿宋"/>
                <w:sz w:val="24"/>
              </w:rPr>
              <w:t>b</w:t>
            </w:r>
            <w:r>
              <w:rPr>
                <w:rFonts w:hint="eastAsia" w:ascii="宋体" w:hAnsi="宋体" w:eastAsia="仿宋" w:cs="仿宋"/>
                <w:sz w:val="24"/>
                <w:shd w:val="clear" w:color="auto" w:fill="FFFFFF"/>
              </w:rPr>
              <w:t>)</w:t>
            </w:r>
            <w:r>
              <w:rPr>
                <w:rFonts w:hint="eastAsia" w:ascii="宋体" w:hAnsi="宋体" w:eastAsia="仿宋" w:cs="仿宋"/>
                <w:sz w:val="24"/>
              </w:rPr>
              <w:t>工艺技术、作业任务、设备设施的特点与工作质量要求；</w:t>
            </w:r>
          </w:p>
          <w:p>
            <w:pPr>
              <w:snapToGrid w:val="0"/>
              <w:spacing w:line="240" w:lineRule="auto"/>
              <w:rPr>
                <w:rFonts w:hint="eastAsia" w:ascii="宋体" w:hAnsi="宋体" w:eastAsia="仿宋" w:cs="仿宋"/>
                <w:sz w:val="24"/>
              </w:rPr>
            </w:pPr>
            <w:r>
              <w:rPr>
                <w:rFonts w:hint="eastAsia" w:ascii="宋体" w:hAnsi="宋体" w:eastAsia="仿宋" w:cs="仿宋"/>
                <w:sz w:val="24"/>
              </w:rPr>
              <w:t>c</w:t>
            </w:r>
            <w:r>
              <w:rPr>
                <w:rFonts w:hint="eastAsia" w:ascii="宋体" w:hAnsi="宋体" w:eastAsia="仿宋" w:cs="仿宋"/>
                <w:sz w:val="24"/>
                <w:shd w:val="clear" w:color="auto" w:fill="FFFFFF"/>
              </w:rPr>
              <w:t>)</w:t>
            </w:r>
            <w:r>
              <w:rPr>
                <w:rFonts w:hint="eastAsia" w:ascii="宋体" w:hAnsi="宋体" w:eastAsia="仿宋" w:cs="仿宋"/>
                <w:sz w:val="24"/>
              </w:rPr>
              <w:t>危险源辨识和风险评估结果；</w:t>
            </w:r>
          </w:p>
          <w:p>
            <w:pPr>
              <w:snapToGrid w:val="0"/>
              <w:spacing w:line="240" w:lineRule="auto"/>
              <w:rPr>
                <w:rFonts w:hint="eastAsia" w:ascii="宋体" w:hAnsi="宋体" w:eastAsia="仿宋" w:cs="仿宋"/>
                <w:sz w:val="24"/>
              </w:rPr>
            </w:pPr>
            <w:r>
              <w:rPr>
                <w:rFonts w:hint="eastAsia" w:ascii="宋体" w:hAnsi="宋体" w:eastAsia="仿宋" w:cs="仿宋"/>
                <w:sz w:val="24"/>
              </w:rPr>
              <w:t>d</w:t>
            </w:r>
            <w:r>
              <w:rPr>
                <w:rFonts w:hint="eastAsia" w:ascii="宋体" w:hAnsi="宋体" w:eastAsia="仿宋" w:cs="仿宋"/>
                <w:sz w:val="24"/>
                <w:shd w:val="clear" w:color="auto" w:fill="FFFFFF"/>
              </w:rPr>
              <w:t>)</w:t>
            </w:r>
            <w:r>
              <w:rPr>
                <w:rFonts w:hint="eastAsia" w:ascii="宋体" w:hAnsi="宋体" w:eastAsia="仿宋" w:cs="仿宋"/>
                <w:sz w:val="24"/>
              </w:rPr>
              <w:t>发生过的事故和未遂事故；</w:t>
            </w:r>
          </w:p>
          <w:p>
            <w:pPr>
              <w:snapToGrid w:val="0"/>
              <w:spacing w:line="240" w:lineRule="auto"/>
              <w:rPr>
                <w:rFonts w:hint="eastAsia" w:ascii="宋体" w:hAnsi="宋体" w:eastAsia="仿宋" w:cs="仿宋"/>
                <w:sz w:val="24"/>
              </w:rPr>
            </w:pPr>
            <w:r>
              <w:rPr>
                <w:rFonts w:hint="eastAsia" w:ascii="宋体" w:hAnsi="宋体" w:eastAsia="仿宋" w:cs="仿宋"/>
                <w:sz w:val="24"/>
              </w:rPr>
              <w:t>e</w:t>
            </w:r>
            <w:r>
              <w:rPr>
                <w:rFonts w:hint="eastAsia" w:ascii="宋体" w:hAnsi="宋体" w:eastAsia="仿宋" w:cs="仿宋"/>
                <w:sz w:val="24"/>
                <w:shd w:val="clear" w:color="auto" w:fill="FFFFFF"/>
              </w:rPr>
              <w:t>)</w:t>
            </w:r>
            <w:r>
              <w:rPr>
                <w:rFonts w:hint="eastAsia" w:ascii="宋体" w:hAnsi="宋体" w:eastAsia="仿宋" w:cs="仿宋"/>
                <w:sz w:val="24"/>
              </w:rPr>
              <w:t>从业人员的意见与建议。</w:t>
            </w:r>
          </w:p>
          <w:p>
            <w:pPr>
              <w:snapToGrid w:val="0"/>
              <w:spacing w:line="240" w:lineRule="auto"/>
              <w:rPr>
                <w:rFonts w:hint="eastAsia" w:ascii="宋体" w:hAnsi="宋体" w:eastAsia="仿宋" w:cs="仿宋"/>
                <w:sz w:val="24"/>
              </w:rPr>
            </w:pPr>
            <w:r>
              <w:rPr>
                <w:rFonts w:hint="eastAsia" w:ascii="宋体" w:hAnsi="宋体" w:eastAsia="仿宋" w:cs="仿宋"/>
                <w:sz w:val="24"/>
              </w:rPr>
              <w:t>企业应在新工艺、新技术、新材料、新设备投入使用前，组织制修订相应的操作规程。</w:t>
            </w:r>
          </w:p>
        </w:tc>
        <w:tc>
          <w:tcPr>
            <w:tcW w:w="1657" w:type="pct"/>
            <w:vAlign w:val="center"/>
          </w:tcPr>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结合企业操作规程编制的实际情况，以及目前企业管理的实际需求，增加了合法合规、危险源辨识和风险评估结果、发生过的事故和未遂事故等相关内容。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13</w:t>
            </w:r>
          </w:p>
        </w:tc>
        <w:tc>
          <w:tcPr>
            <w:tcW w:w="1550" w:type="pct"/>
            <w:vAlign w:val="center"/>
          </w:tcPr>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5.1.4 安全生产投入</w:t>
            </w:r>
          </w:p>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企业应建立安全生产投入保障制度，按照有关规定提取和使用安全生产费用，并建立使用台账。</w:t>
            </w:r>
          </w:p>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企业应按照有关规定，为从业人员缴纳相关保险费用。企业宜投保安全生产责任保险。</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5.4 资金保障</w:t>
            </w:r>
          </w:p>
          <w:p>
            <w:pPr>
              <w:snapToGrid w:val="0"/>
              <w:spacing w:line="240" w:lineRule="auto"/>
              <w:rPr>
                <w:rFonts w:hint="eastAsia" w:ascii="宋体" w:hAnsi="宋体" w:eastAsia="仿宋" w:cs="仿宋"/>
                <w:sz w:val="24"/>
              </w:rPr>
            </w:pPr>
            <w:r>
              <w:rPr>
                <w:rFonts w:hint="eastAsia" w:ascii="宋体" w:hAnsi="宋体" w:eastAsia="仿宋" w:cs="仿宋"/>
                <w:sz w:val="24"/>
              </w:rPr>
              <w:t>企业应保障安全生产资金投入，并纳入预算管理。</w:t>
            </w:r>
          </w:p>
          <w:p>
            <w:pPr>
              <w:snapToGrid w:val="0"/>
              <w:spacing w:line="240" w:lineRule="auto"/>
              <w:rPr>
                <w:rFonts w:hint="eastAsia" w:ascii="宋体" w:hAnsi="宋体" w:eastAsia="仿宋" w:cs="仿宋"/>
                <w:sz w:val="24"/>
              </w:rPr>
            </w:pPr>
            <w:r>
              <w:rPr>
                <w:rFonts w:hint="eastAsia" w:ascii="宋体" w:hAnsi="宋体" w:eastAsia="仿宋" w:cs="仿宋"/>
                <w:sz w:val="24"/>
              </w:rPr>
              <w:t>应足额提取、规范使用安全生产费用，并建立管理台账。</w:t>
            </w:r>
          </w:p>
          <w:p>
            <w:pPr>
              <w:snapToGrid w:val="0"/>
              <w:spacing w:line="240" w:lineRule="auto"/>
              <w:rPr>
                <w:rFonts w:hint="eastAsia" w:ascii="宋体" w:hAnsi="宋体" w:eastAsia="仿宋" w:cs="仿宋"/>
                <w:sz w:val="24"/>
              </w:rPr>
            </w:pPr>
            <w:r>
              <w:rPr>
                <w:rFonts w:hint="eastAsia" w:ascii="宋体" w:hAnsi="宋体" w:eastAsia="仿宋" w:cs="仿宋"/>
                <w:sz w:val="24"/>
              </w:rPr>
              <w:t>应按规定为从业人员投保工伤保险、安全生产责任保险等相关保险。</w:t>
            </w:r>
          </w:p>
        </w:tc>
        <w:tc>
          <w:tcPr>
            <w:tcW w:w="1657" w:type="pct"/>
            <w:vAlign w:val="center"/>
          </w:tcPr>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参考《企业安全生产费用提取和使用管理办法》，修订此条。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14</w:t>
            </w:r>
          </w:p>
        </w:tc>
        <w:tc>
          <w:tcPr>
            <w:tcW w:w="1550" w:type="pct"/>
            <w:vAlign w:val="center"/>
          </w:tcPr>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5.5 科技保障</w:t>
            </w:r>
          </w:p>
          <w:p>
            <w:pPr>
              <w:snapToGrid w:val="0"/>
              <w:spacing w:line="240" w:lineRule="auto"/>
              <w:rPr>
                <w:rFonts w:hint="eastAsia" w:ascii="宋体" w:hAnsi="宋体" w:eastAsia="仿宋" w:cs="仿宋"/>
                <w:sz w:val="24"/>
              </w:rPr>
            </w:pPr>
            <w:r>
              <w:rPr>
                <w:rFonts w:hint="eastAsia" w:ascii="宋体" w:hAnsi="宋体" w:eastAsia="仿宋" w:cs="仿宋"/>
                <w:sz w:val="24"/>
              </w:rPr>
              <w:t>企业应根据自身实际情况，开展安全生产科学技术研究，推广应用安全生产先进技术，推进老旧设施升级改造，提高企业本质安全化水平。</w:t>
            </w:r>
          </w:p>
        </w:tc>
        <w:tc>
          <w:tcPr>
            <w:tcW w:w="1657" w:type="pct"/>
            <w:vAlign w:val="center"/>
          </w:tcPr>
          <w:p>
            <w:pPr>
              <w:widowControl/>
              <w:spacing w:line="240" w:lineRule="auto"/>
              <w:jc w:val="left"/>
              <w:rPr>
                <w:rFonts w:hint="eastAsia" w:ascii="宋体" w:hAnsi="宋体" w:eastAsia="仿宋" w:cs="仿宋"/>
                <w:sz w:val="24"/>
                <w:szCs w:val="24"/>
              </w:rPr>
            </w:pPr>
            <w:r>
              <w:rPr>
                <w:rFonts w:hint="eastAsia" w:ascii="宋体" w:hAnsi="宋体" w:eastAsia="仿宋" w:cs="仿宋"/>
                <w:sz w:val="24"/>
                <w:szCs w:val="24"/>
              </w:rPr>
              <w:t>参考《中华人民共和国安全生产法》和《国家安全监管总局关于推动安全生产科技创新的若干意见》，增加了科技保障要素。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15</w:t>
            </w:r>
          </w:p>
        </w:tc>
        <w:tc>
          <w:tcPr>
            <w:tcW w:w="1550" w:type="pct"/>
            <w:vAlign w:val="center"/>
          </w:tcPr>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5.1.6 安全生产信息化建设</w:t>
            </w:r>
          </w:p>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企业应根据自身实际情况，利用信息化手段加强安全生产管理工作，开展安全生产电子台账管理、重大危险源监控、职业病危害防治、应急管理、安全风险管控和隐患自查自报、安全生产预测预警等信息系统的建设。</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5.6 数智保障</w:t>
            </w:r>
          </w:p>
          <w:p>
            <w:pPr>
              <w:snapToGrid w:val="0"/>
              <w:spacing w:line="240" w:lineRule="auto"/>
              <w:rPr>
                <w:rFonts w:hint="eastAsia" w:ascii="宋体" w:hAnsi="宋体" w:eastAsia="仿宋" w:cs="仿宋"/>
                <w:sz w:val="24"/>
              </w:rPr>
            </w:pPr>
            <w:r>
              <w:rPr>
                <w:rFonts w:hint="eastAsia" w:ascii="宋体" w:hAnsi="宋体" w:eastAsia="仿宋" w:cs="仿宋"/>
                <w:sz w:val="24"/>
              </w:rPr>
              <w:t>企业应利用现代信息手段，实现安全生产台账管理、安全风险分级管控、隐患排查治理、应急管理等信息化功能。</w:t>
            </w:r>
          </w:p>
          <w:p>
            <w:pPr>
              <w:snapToGrid w:val="0"/>
              <w:spacing w:line="240" w:lineRule="auto"/>
              <w:rPr>
                <w:rFonts w:hint="eastAsia" w:ascii="宋体" w:hAnsi="宋体" w:eastAsia="仿宋" w:cs="仿宋"/>
                <w:sz w:val="24"/>
              </w:rPr>
            </w:pPr>
            <w:r>
              <w:rPr>
                <w:rFonts w:hint="eastAsia" w:ascii="宋体" w:hAnsi="宋体" w:eastAsia="仿宋" w:cs="仿宋"/>
                <w:sz w:val="24"/>
              </w:rPr>
              <w:t>宜应用人工智能、大数据、物联网等技术，实现安全风险隐患的智能识别、快速感知、实时监测、超前预警等功能，推进危险岗位无人值守或机器人作业。</w:t>
            </w:r>
          </w:p>
        </w:tc>
        <w:tc>
          <w:tcPr>
            <w:tcW w:w="1657" w:type="pct"/>
            <w:vAlign w:val="center"/>
          </w:tcPr>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参考《中华人民共和国安全生产法》，结合目前大中型企业发展现状，修订本条款，增加了人工智能、物联网等相关内容。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16</w:t>
            </w:r>
          </w:p>
        </w:tc>
        <w:tc>
          <w:tcPr>
            <w:tcW w:w="1550" w:type="pct"/>
            <w:vAlign w:val="center"/>
          </w:tcPr>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6 总体策划</w:t>
            </w:r>
            <w:r>
              <w:rPr>
                <w:rFonts w:hint="eastAsia" w:ascii="宋体" w:hAnsi="宋体" w:eastAsia="仿宋" w:cs="仿宋"/>
                <w:sz w:val="24"/>
              </w:rPr>
              <w:tab/>
            </w:r>
          </w:p>
          <w:p>
            <w:pPr>
              <w:snapToGrid w:val="0"/>
              <w:spacing w:line="240" w:lineRule="auto"/>
              <w:rPr>
                <w:rFonts w:hint="eastAsia" w:ascii="宋体" w:hAnsi="宋体" w:eastAsia="仿宋" w:cs="仿宋"/>
                <w:sz w:val="24"/>
              </w:rPr>
            </w:pPr>
            <w:r>
              <w:rPr>
                <w:rFonts w:hint="eastAsia" w:ascii="宋体" w:hAnsi="宋体" w:eastAsia="仿宋" w:cs="仿宋"/>
                <w:sz w:val="24"/>
              </w:rPr>
              <w:t>6.1 理念</w:t>
            </w:r>
          </w:p>
          <w:p>
            <w:pPr>
              <w:snapToGrid w:val="0"/>
              <w:spacing w:line="240" w:lineRule="auto"/>
              <w:rPr>
                <w:rFonts w:hint="eastAsia" w:ascii="宋体" w:hAnsi="宋体" w:eastAsia="仿宋" w:cs="仿宋"/>
                <w:sz w:val="24"/>
              </w:rPr>
            </w:pPr>
            <w:r>
              <w:rPr>
                <w:rFonts w:hint="eastAsia" w:ascii="宋体" w:hAnsi="宋体" w:eastAsia="仿宋" w:cs="仿宋"/>
                <w:sz w:val="24"/>
              </w:rPr>
              <w:t>企业应坚持人民至上、生命至上，树牢安全发展理念。</w:t>
            </w:r>
          </w:p>
          <w:p>
            <w:pPr>
              <w:snapToGrid w:val="0"/>
              <w:spacing w:line="240" w:lineRule="auto"/>
              <w:rPr>
                <w:rFonts w:hint="eastAsia" w:ascii="宋体" w:hAnsi="宋体" w:eastAsia="仿宋" w:cs="仿宋"/>
                <w:sz w:val="24"/>
              </w:rPr>
            </w:pPr>
            <w:r>
              <w:rPr>
                <w:rFonts w:hint="eastAsia" w:ascii="宋体" w:hAnsi="宋体" w:eastAsia="仿宋" w:cs="仿宋"/>
                <w:sz w:val="24"/>
              </w:rPr>
              <w:t>应根据安全生产政策、法律法规、标准规范和管理实践，总结凝练形成本企业安全理念，培育具有特色的安全文化。</w:t>
            </w:r>
          </w:p>
          <w:p>
            <w:pPr>
              <w:snapToGrid w:val="0"/>
              <w:spacing w:line="240" w:lineRule="auto"/>
              <w:rPr>
                <w:rFonts w:hint="eastAsia" w:ascii="宋体" w:hAnsi="宋体" w:eastAsia="仿宋" w:cs="仿宋"/>
                <w:sz w:val="24"/>
              </w:rPr>
            </w:pPr>
            <w:r>
              <w:rPr>
                <w:rFonts w:hint="eastAsia" w:ascii="宋体" w:hAnsi="宋体" w:eastAsia="仿宋" w:cs="仿宋"/>
                <w:sz w:val="24"/>
              </w:rPr>
              <w:t>安全理念应体现以下内容：</w:t>
            </w:r>
          </w:p>
          <w:p>
            <w:pPr>
              <w:snapToGrid w:val="0"/>
              <w:spacing w:line="240" w:lineRule="auto"/>
              <w:rPr>
                <w:rFonts w:hint="eastAsia" w:ascii="宋体" w:hAnsi="宋体" w:eastAsia="仿宋" w:cs="仿宋"/>
                <w:sz w:val="24"/>
              </w:rPr>
            </w:pPr>
            <w:r>
              <w:rPr>
                <w:rFonts w:hint="eastAsia" w:ascii="宋体" w:hAnsi="宋体" w:eastAsia="仿宋" w:cs="仿宋"/>
                <w:sz w:val="24"/>
              </w:rPr>
              <w:t>a</w:t>
            </w:r>
            <w:r>
              <w:rPr>
                <w:rFonts w:hint="eastAsia" w:ascii="宋体" w:hAnsi="宋体" w:eastAsia="仿宋" w:cs="仿宋"/>
                <w:sz w:val="24"/>
                <w:shd w:val="clear" w:color="auto" w:fill="FFFFFF"/>
              </w:rPr>
              <w:t>)</w:t>
            </w:r>
            <w:r>
              <w:rPr>
                <w:rFonts w:hint="eastAsia" w:ascii="宋体" w:hAnsi="宋体" w:eastAsia="仿宋" w:cs="仿宋"/>
                <w:sz w:val="24"/>
              </w:rPr>
              <w:t>安全</w:t>
            </w:r>
            <w:r>
              <w:rPr>
                <w:rFonts w:hint="eastAsia" w:ascii="宋体" w:hAnsi="宋体" w:eastAsia="仿宋" w:cs="仿宋"/>
                <w:sz w:val="24"/>
                <w:shd w:val="clear" w:color="auto" w:fill="FFFFFF"/>
              </w:rPr>
              <w:t>第一、</w:t>
            </w:r>
            <w:r>
              <w:rPr>
                <w:rFonts w:hint="eastAsia" w:ascii="宋体" w:hAnsi="宋体" w:eastAsia="仿宋" w:cs="仿宋"/>
                <w:sz w:val="24"/>
              </w:rPr>
              <w:t>预防为主、综合治理的方针；</w:t>
            </w:r>
          </w:p>
          <w:p>
            <w:pPr>
              <w:snapToGrid w:val="0"/>
              <w:spacing w:line="240" w:lineRule="auto"/>
              <w:rPr>
                <w:rFonts w:hint="eastAsia" w:ascii="宋体" w:hAnsi="宋体" w:eastAsia="仿宋" w:cs="仿宋"/>
                <w:sz w:val="24"/>
              </w:rPr>
            </w:pPr>
            <w:r>
              <w:rPr>
                <w:rFonts w:hint="eastAsia" w:ascii="宋体" w:hAnsi="宋体" w:eastAsia="仿宋" w:cs="仿宋"/>
                <w:sz w:val="24"/>
              </w:rPr>
              <w:t>b</w:t>
            </w:r>
            <w:r>
              <w:rPr>
                <w:rFonts w:hint="eastAsia" w:ascii="宋体" w:hAnsi="宋体" w:eastAsia="仿宋" w:cs="仿宋"/>
                <w:sz w:val="24"/>
                <w:shd w:val="clear" w:color="auto" w:fill="FFFFFF"/>
              </w:rPr>
              <w:t>)</w:t>
            </w:r>
            <w:r>
              <w:rPr>
                <w:rFonts w:hint="eastAsia" w:ascii="宋体" w:hAnsi="宋体" w:eastAsia="仿宋" w:cs="仿宋"/>
                <w:sz w:val="24"/>
              </w:rPr>
              <w:t>企业发展战略；</w:t>
            </w:r>
          </w:p>
          <w:p>
            <w:pPr>
              <w:snapToGrid w:val="0"/>
              <w:spacing w:line="240" w:lineRule="auto"/>
              <w:rPr>
                <w:rFonts w:hint="eastAsia" w:ascii="宋体" w:hAnsi="宋体" w:eastAsia="仿宋" w:cs="仿宋"/>
                <w:sz w:val="24"/>
              </w:rPr>
            </w:pPr>
            <w:r>
              <w:rPr>
                <w:rFonts w:hint="eastAsia" w:ascii="宋体" w:hAnsi="宋体" w:eastAsia="仿宋" w:cs="仿宋"/>
                <w:sz w:val="24"/>
              </w:rPr>
              <w:t>c</w:t>
            </w:r>
            <w:r>
              <w:rPr>
                <w:rFonts w:hint="eastAsia" w:ascii="宋体" w:hAnsi="宋体" w:eastAsia="仿宋" w:cs="仿宋"/>
                <w:sz w:val="24"/>
                <w:shd w:val="clear" w:color="auto" w:fill="FFFFFF"/>
              </w:rPr>
              <w:t>)</w:t>
            </w:r>
            <w:r>
              <w:rPr>
                <w:rFonts w:hint="eastAsia" w:ascii="宋体" w:hAnsi="宋体" w:eastAsia="仿宋" w:cs="仿宋"/>
                <w:sz w:val="24"/>
              </w:rPr>
              <w:t>风险管理策略；</w:t>
            </w:r>
          </w:p>
          <w:p>
            <w:pPr>
              <w:snapToGrid w:val="0"/>
              <w:spacing w:line="240" w:lineRule="auto"/>
              <w:rPr>
                <w:rFonts w:hint="eastAsia" w:ascii="宋体" w:hAnsi="宋体" w:eastAsia="仿宋" w:cs="仿宋"/>
                <w:sz w:val="24"/>
              </w:rPr>
            </w:pPr>
            <w:r>
              <w:rPr>
                <w:rFonts w:hint="eastAsia" w:ascii="宋体" w:hAnsi="宋体" w:eastAsia="仿宋" w:cs="仿宋"/>
                <w:sz w:val="24"/>
              </w:rPr>
              <w:t>d</w:t>
            </w:r>
            <w:r>
              <w:rPr>
                <w:rFonts w:hint="eastAsia" w:ascii="宋体" w:hAnsi="宋体" w:eastAsia="仿宋" w:cs="仿宋"/>
                <w:sz w:val="24"/>
                <w:shd w:val="clear" w:color="auto" w:fill="FFFFFF"/>
              </w:rPr>
              <w:t>)</w:t>
            </w:r>
            <w:r>
              <w:rPr>
                <w:rFonts w:hint="eastAsia" w:ascii="宋体" w:hAnsi="宋体" w:eastAsia="仿宋" w:cs="仿宋"/>
                <w:sz w:val="24"/>
              </w:rPr>
              <w:t>从业人员获得感、幸福感、安全感。</w:t>
            </w:r>
          </w:p>
          <w:p>
            <w:pPr>
              <w:snapToGrid w:val="0"/>
              <w:spacing w:line="240" w:lineRule="auto"/>
              <w:rPr>
                <w:rFonts w:hint="eastAsia" w:ascii="宋体" w:hAnsi="宋体" w:eastAsia="仿宋" w:cs="仿宋"/>
                <w:sz w:val="24"/>
              </w:rPr>
            </w:pPr>
            <w:r>
              <w:rPr>
                <w:rFonts w:hint="eastAsia" w:ascii="宋体" w:hAnsi="宋体" w:eastAsia="仿宋" w:cs="仿宋"/>
                <w:sz w:val="24"/>
              </w:rPr>
              <w:t>企业应通过多种渠道、方式向从业人员和相关方宣贯安全理念，使其理解、认同、践行，并贯穿于生产经营活动全过程。</w:t>
            </w:r>
          </w:p>
          <w:p>
            <w:pPr>
              <w:snapToGrid w:val="0"/>
              <w:spacing w:line="240" w:lineRule="auto"/>
              <w:rPr>
                <w:rFonts w:hint="eastAsia" w:ascii="宋体" w:hAnsi="宋体" w:eastAsia="仿宋" w:cs="仿宋"/>
                <w:sz w:val="24"/>
              </w:rPr>
            </w:pPr>
            <w:r>
              <w:rPr>
                <w:rFonts w:hint="eastAsia" w:ascii="宋体" w:hAnsi="宋体" w:eastAsia="仿宋" w:cs="仿宋"/>
                <w:sz w:val="24"/>
              </w:rPr>
              <w:t>应根据发展变化，适时更新安全理念。</w:t>
            </w:r>
          </w:p>
        </w:tc>
        <w:tc>
          <w:tcPr>
            <w:tcW w:w="1657" w:type="pct"/>
            <w:vAlign w:val="center"/>
          </w:tcPr>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参考《中华人民共和国安全生产法》安全生产工作应当以人为本，坚持人民至上、生命至上，把保护人民生命安全摆在首位，树牢安全发展理念，坚持安全</w:t>
            </w:r>
            <w:r>
              <w:rPr>
                <w:rFonts w:hint="eastAsia" w:ascii="宋体" w:hAnsi="宋体" w:eastAsia="仿宋" w:cs="仿宋"/>
                <w:sz w:val="24"/>
                <w:szCs w:val="24"/>
                <w:shd w:val="clear" w:color="auto" w:fill="FFFFFF"/>
              </w:rPr>
              <w:t>第一、</w:t>
            </w:r>
            <w:r>
              <w:rPr>
                <w:rFonts w:hint="eastAsia" w:ascii="宋体" w:hAnsi="宋体" w:eastAsia="仿宋" w:cs="仿宋"/>
                <w:sz w:val="24"/>
                <w:szCs w:val="24"/>
              </w:rPr>
              <w:t>预防为主、综合治理的方针，从源头上防范化解重大安全风险，制定本</w:t>
            </w:r>
            <w:r>
              <w:rPr>
                <w:rFonts w:hint="eastAsia" w:ascii="宋体" w:hAnsi="宋体" w:eastAsia="仿宋" w:cs="仿宋"/>
                <w:sz w:val="24"/>
                <w:szCs w:val="24"/>
                <w:shd w:val="clear" w:fill="FFFFFF"/>
              </w:rPr>
              <w:t>条例</w:t>
            </w:r>
            <w:r>
              <w:rPr>
                <w:rFonts w:hint="eastAsia" w:ascii="宋体" w:hAnsi="宋体" w:eastAsia="仿宋" w:cs="仿宋"/>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17</w:t>
            </w:r>
          </w:p>
        </w:tc>
        <w:tc>
          <w:tcPr>
            <w:tcW w:w="1550" w:type="pct"/>
            <w:vAlign w:val="center"/>
          </w:tcPr>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5 核心要求</w:t>
            </w:r>
            <w:r>
              <w:rPr>
                <w:rFonts w:hint="eastAsia" w:ascii="宋体" w:hAnsi="宋体" w:eastAsia="仿宋" w:cs="仿宋"/>
                <w:sz w:val="24"/>
                <w:szCs w:val="24"/>
              </w:rPr>
              <w:tab/>
            </w:r>
          </w:p>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5.1 目标职责</w:t>
            </w:r>
            <w:r>
              <w:rPr>
                <w:rFonts w:hint="eastAsia" w:ascii="宋体" w:hAnsi="宋体" w:eastAsia="仿宋" w:cs="仿宋"/>
                <w:sz w:val="24"/>
                <w:szCs w:val="24"/>
              </w:rPr>
              <w:tab/>
            </w:r>
          </w:p>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5.1.1 目标</w:t>
            </w:r>
            <w:r>
              <w:rPr>
                <w:rFonts w:hint="eastAsia" w:ascii="宋体" w:hAnsi="宋体" w:eastAsia="仿宋" w:cs="仿宋"/>
                <w:sz w:val="24"/>
                <w:szCs w:val="24"/>
              </w:rPr>
              <w:tab/>
            </w:r>
          </w:p>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企业应根据自身安全生产实际，制定文件化的总体和年度安全生产与职业卫生目标，并纳入企业总体生产经营目标。明确目标的制定、分解、实施、检查、考核等环节要求，并按照所属基层单位和部门在生产经营活动中所承担的职能，将目标分解为指标，确保落实。</w:t>
            </w:r>
          </w:p>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企业应定期对安全生产与职业卫生目标、指标实施情况进行评估和考核，并结合实际及时进行调整。</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6.2 目标</w:t>
            </w:r>
          </w:p>
          <w:p>
            <w:pPr>
              <w:snapToGrid w:val="0"/>
              <w:spacing w:line="240" w:lineRule="auto"/>
              <w:rPr>
                <w:rFonts w:hint="eastAsia" w:ascii="宋体" w:hAnsi="宋体" w:eastAsia="仿宋" w:cs="仿宋"/>
                <w:sz w:val="24"/>
              </w:rPr>
            </w:pPr>
            <w:r>
              <w:rPr>
                <w:rFonts w:hint="eastAsia" w:ascii="宋体" w:hAnsi="宋体" w:eastAsia="仿宋" w:cs="仿宋"/>
                <w:sz w:val="24"/>
              </w:rPr>
              <w:t>企业应明确安全生产目标的制定、分解、实施、检查、考核等管理要求。</w:t>
            </w:r>
          </w:p>
          <w:p>
            <w:pPr>
              <w:snapToGrid w:val="0"/>
              <w:spacing w:line="240" w:lineRule="auto"/>
              <w:rPr>
                <w:rFonts w:hint="eastAsia" w:ascii="宋体" w:hAnsi="宋体" w:eastAsia="仿宋" w:cs="仿宋"/>
                <w:sz w:val="24"/>
              </w:rPr>
            </w:pPr>
            <w:r>
              <w:rPr>
                <w:rFonts w:hint="eastAsia" w:ascii="宋体" w:hAnsi="宋体" w:eastAsia="仿宋" w:cs="仿宋"/>
                <w:sz w:val="24"/>
              </w:rPr>
              <w:t>目标制定时应遵循定性与定量、过程与结果相结合的原则，至少考虑：</w:t>
            </w:r>
          </w:p>
          <w:p>
            <w:pPr>
              <w:snapToGrid w:val="0"/>
              <w:spacing w:line="240" w:lineRule="auto"/>
              <w:rPr>
                <w:rFonts w:hint="eastAsia" w:ascii="宋体" w:hAnsi="宋体" w:eastAsia="仿宋" w:cs="仿宋"/>
                <w:sz w:val="24"/>
              </w:rPr>
            </w:pPr>
            <w:r>
              <w:rPr>
                <w:rFonts w:hint="eastAsia" w:ascii="宋体" w:hAnsi="宋体" w:eastAsia="仿宋" w:cs="仿宋"/>
                <w:sz w:val="24"/>
              </w:rPr>
              <w:t>a</w:t>
            </w:r>
            <w:r>
              <w:rPr>
                <w:rFonts w:hint="eastAsia" w:ascii="宋体" w:hAnsi="宋体" w:eastAsia="仿宋" w:cs="仿宋"/>
                <w:sz w:val="24"/>
                <w:shd w:val="clear" w:color="auto" w:fill="FFFFFF"/>
              </w:rPr>
              <w:t>)</w:t>
            </w:r>
            <w:r>
              <w:rPr>
                <w:rFonts w:hint="eastAsia" w:ascii="宋体" w:hAnsi="宋体" w:eastAsia="仿宋" w:cs="仿宋"/>
                <w:sz w:val="24"/>
              </w:rPr>
              <w:t>安全生产相关法律法规、标准规范要求和其他要求；</w:t>
            </w:r>
          </w:p>
          <w:p>
            <w:pPr>
              <w:snapToGrid w:val="0"/>
              <w:spacing w:line="240" w:lineRule="auto"/>
              <w:rPr>
                <w:rFonts w:hint="eastAsia" w:ascii="宋体" w:hAnsi="宋体" w:eastAsia="仿宋" w:cs="仿宋"/>
                <w:sz w:val="24"/>
              </w:rPr>
            </w:pPr>
            <w:r>
              <w:rPr>
                <w:rFonts w:hint="eastAsia" w:ascii="宋体" w:hAnsi="宋体" w:eastAsia="仿宋" w:cs="仿宋"/>
                <w:sz w:val="24"/>
              </w:rPr>
              <w:t>b</w:t>
            </w:r>
            <w:r>
              <w:rPr>
                <w:rFonts w:hint="eastAsia" w:ascii="宋体" w:hAnsi="宋体" w:eastAsia="仿宋" w:cs="仿宋"/>
                <w:sz w:val="24"/>
                <w:shd w:val="clear" w:color="auto" w:fill="FFFFFF"/>
              </w:rPr>
              <w:t>)</w:t>
            </w:r>
            <w:r>
              <w:rPr>
                <w:rFonts w:hint="eastAsia" w:ascii="宋体" w:hAnsi="宋体" w:eastAsia="仿宋" w:cs="仿宋"/>
                <w:sz w:val="24"/>
              </w:rPr>
              <w:t>行业发展特点及趋势；</w:t>
            </w:r>
          </w:p>
          <w:p>
            <w:pPr>
              <w:snapToGrid w:val="0"/>
              <w:spacing w:line="240" w:lineRule="auto"/>
              <w:rPr>
                <w:rFonts w:hint="eastAsia" w:ascii="宋体" w:hAnsi="宋体" w:eastAsia="仿宋" w:cs="仿宋"/>
                <w:sz w:val="24"/>
              </w:rPr>
            </w:pPr>
            <w:r>
              <w:rPr>
                <w:rFonts w:hint="eastAsia" w:ascii="宋体" w:hAnsi="宋体" w:eastAsia="仿宋" w:cs="仿宋"/>
                <w:sz w:val="24"/>
              </w:rPr>
              <w:t>c</w:t>
            </w:r>
            <w:r>
              <w:rPr>
                <w:rFonts w:hint="eastAsia" w:ascii="宋体" w:hAnsi="宋体" w:eastAsia="仿宋" w:cs="仿宋"/>
                <w:sz w:val="24"/>
                <w:shd w:val="clear" w:color="auto" w:fill="FFFFFF"/>
              </w:rPr>
              <w:t>)</w:t>
            </w:r>
            <w:r>
              <w:rPr>
                <w:rFonts w:hint="eastAsia" w:ascii="宋体" w:hAnsi="宋体" w:eastAsia="仿宋" w:cs="仿宋"/>
                <w:sz w:val="24"/>
              </w:rPr>
              <w:t>企业安全理念；</w:t>
            </w:r>
          </w:p>
          <w:p>
            <w:pPr>
              <w:snapToGrid w:val="0"/>
              <w:spacing w:line="240" w:lineRule="auto"/>
              <w:rPr>
                <w:rFonts w:hint="eastAsia" w:ascii="宋体" w:hAnsi="宋体" w:eastAsia="仿宋" w:cs="仿宋"/>
                <w:sz w:val="24"/>
              </w:rPr>
            </w:pPr>
            <w:r>
              <w:rPr>
                <w:rFonts w:hint="eastAsia" w:ascii="宋体" w:hAnsi="宋体" w:eastAsia="仿宋" w:cs="仿宋"/>
                <w:sz w:val="24"/>
              </w:rPr>
              <w:t>d</w:t>
            </w:r>
            <w:r>
              <w:rPr>
                <w:rFonts w:hint="eastAsia" w:ascii="宋体" w:hAnsi="宋体" w:eastAsia="仿宋" w:cs="仿宋"/>
                <w:sz w:val="24"/>
                <w:shd w:val="clear" w:color="auto" w:fill="FFFFFF"/>
              </w:rPr>
              <w:t>)</w:t>
            </w:r>
            <w:r>
              <w:rPr>
                <w:rFonts w:hint="eastAsia" w:ascii="宋体" w:hAnsi="宋体" w:eastAsia="仿宋" w:cs="仿宋"/>
                <w:sz w:val="24"/>
              </w:rPr>
              <w:t>安全风险管控和隐患排查治理要求；</w:t>
            </w:r>
          </w:p>
          <w:p>
            <w:pPr>
              <w:snapToGrid w:val="0"/>
              <w:spacing w:line="240" w:lineRule="auto"/>
              <w:rPr>
                <w:rFonts w:hint="eastAsia" w:ascii="宋体" w:hAnsi="宋体" w:eastAsia="仿宋" w:cs="仿宋"/>
                <w:sz w:val="24"/>
              </w:rPr>
            </w:pPr>
            <w:r>
              <w:rPr>
                <w:rFonts w:hint="eastAsia" w:ascii="宋体" w:hAnsi="宋体" w:eastAsia="仿宋" w:cs="仿宋"/>
                <w:sz w:val="24"/>
              </w:rPr>
              <w:t>e</w:t>
            </w:r>
            <w:r>
              <w:rPr>
                <w:rFonts w:hint="eastAsia" w:ascii="宋体" w:hAnsi="宋体" w:eastAsia="仿宋" w:cs="仿宋"/>
                <w:sz w:val="24"/>
                <w:shd w:val="clear" w:color="auto" w:fill="FFFFFF"/>
              </w:rPr>
              <w:t>)</w:t>
            </w:r>
            <w:r>
              <w:rPr>
                <w:rFonts w:hint="eastAsia" w:ascii="宋体" w:hAnsi="宋体" w:eastAsia="仿宋" w:cs="仿宋"/>
                <w:sz w:val="24"/>
              </w:rPr>
              <w:t>以往安全生产绩效。</w:t>
            </w:r>
          </w:p>
          <w:p>
            <w:pPr>
              <w:snapToGrid w:val="0"/>
              <w:spacing w:line="240" w:lineRule="auto"/>
              <w:rPr>
                <w:rFonts w:hint="eastAsia" w:ascii="宋体" w:hAnsi="宋体" w:eastAsia="仿宋" w:cs="仿宋"/>
                <w:sz w:val="24"/>
              </w:rPr>
            </w:pPr>
            <w:r>
              <w:rPr>
                <w:rFonts w:hint="eastAsia" w:ascii="宋体" w:hAnsi="宋体" w:eastAsia="仿宋" w:cs="仿宋"/>
                <w:sz w:val="24"/>
              </w:rPr>
              <w:t>企业应明确完成安全生产目标的工作任务、责任分工、资源保障和时限要求，定期对目标及工作任务完成情况进行跟踪、分析和考核。</w:t>
            </w:r>
          </w:p>
        </w:tc>
        <w:tc>
          <w:tcPr>
            <w:tcW w:w="1657" w:type="pct"/>
            <w:vAlign w:val="center"/>
          </w:tcPr>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规范条款语句，弱化了职业卫生内容，明确了安全生产目标内容。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18</w:t>
            </w:r>
          </w:p>
        </w:tc>
        <w:tc>
          <w:tcPr>
            <w:tcW w:w="1550" w:type="pct"/>
            <w:vAlign w:val="center"/>
          </w:tcPr>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6.3 合规管理</w:t>
            </w:r>
          </w:p>
          <w:p>
            <w:pPr>
              <w:snapToGrid w:val="0"/>
              <w:spacing w:line="240" w:lineRule="auto"/>
              <w:rPr>
                <w:rFonts w:hint="eastAsia" w:ascii="宋体" w:hAnsi="宋体" w:eastAsia="仿宋" w:cs="仿宋"/>
                <w:sz w:val="24"/>
              </w:rPr>
            </w:pPr>
            <w:r>
              <w:rPr>
                <w:rFonts w:hint="eastAsia" w:ascii="宋体" w:hAnsi="宋体" w:eastAsia="仿宋" w:cs="仿宋"/>
                <w:sz w:val="24"/>
              </w:rPr>
              <w:t>企业应建立安全生产合规的管理要求，明确安全生产相关法律法规、标准规范的获取、识别、转化、评价等内容。</w:t>
            </w:r>
          </w:p>
          <w:p>
            <w:pPr>
              <w:snapToGrid w:val="0"/>
              <w:spacing w:line="240" w:lineRule="auto"/>
              <w:rPr>
                <w:rFonts w:hint="eastAsia" w:ascii="宋体" w:hAnsi="宋体" w:eastAsia="仿宋" w:cs="仿宋"/>
                <w:sz w:val="24"/>
              </w:rPr>
            </w:pPr>
            <w:r>
              <w:rPr>
                <w:rFonts w:hint="eastAsia" w:ascii="宋体" w:hAnsi="宋体" w:eastAsia="仿宋" w:cs="仿宋"/>
                <w:sz w:val="24"/>
              </w:rPr>
              <w:t>应及时获取适用的安全生产相关法律法规、标准规范等法定要求，识别安全生产合规义务，根据自身实际情况及时转化为内部规章制度、操作规程等，并对从业人员进行培训。</w:t>
            </w:r>
          </w:p>
          <w:p>
            <w:pPr>
              <w:snapToGrid w:val="0"/>
              <w:spacing w:line="240" w:lineRule="auto"/>
              <w:rPr>
                <w:rFonts w:hint="eastAsia" w:ascii="宋体" w:hAnsi="宋体" w:eastAsia="仿宋" w:cs="仿宋"/>
                <w:sz w:val="24"/>
              </w:rPr>
            </w:pPr>
            <w:r>
              <w:rPr>
                <w:rFonts w:hint="eastAsia" w:ascii="宋体" w:hAnsi="宋体" w:eastAsia="仿宋" w:cs="仿宋"/>
                <w:sz w:val="24"/>
              </w:rPr>
              <w:t>应每年至少开展一次安全生产合规评价，及时采取措施防控合规风险，并按规定将安全生产合规评价结果上报政府有关部门。当法定要求或企业内部发生重大变化时，应重新进行评价。</w:t>
            </w:r>
          </w:p>
        </w:tc>
        <w:tc>
          <w:tcPr>
            <w:tcW w:w="1657" w:type="pct"/>
            <w:vAlign w:val="center"/>
          </w:tcPr>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参考《中央企业合规管理办法》以有效防控合规风险为目的，以提升依法合规经营管理水平为导向，以企业经营管理行为和员工履职行为为对象，开展有组织、有计划的管理活动，确保安全生产工作始终适应最新安全生产法定要求，满足当前安全生产形势需要，同时可规范从业人员安全行为，确保生产活动在安全有序的状态下进行，组织法务等部门进行监督，从而保障从业人员的人身财产安全。</w:t>
            </w:r>
          </w:p>
          <w:p>
            <w:pPr>
              <w:spacing w:line="240" w:lineRule="auto"/>
              <w:jc w:val="left"/>
              <w:rPr>
                <w:rFonts w:hint="eastAsia" w:ascii="宋体" w:hAnsi="宋体"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19</w:t>
            </w:r>
          </w:p>
        </w:tc>
        <w:tc>
          <w:tcPr>
            <w:tcW w:w="1550" w:type="pct"/>
            <w:vAlign w:val="center"/>
          </w:tcPr>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5.1.3 全员参与</w:t>
            </w:r>
          </w:p>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企业应建立健全安全生产和职业卫生责任制，明确各级部门和从业人员的安全生产和职业卫生职责，并对职责的适宜性、履职情况进行定期评估和监督考核。</w:t>
            </w:r>
          </w:p>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企业应为全员参与安全生产和职业卫生工作创造必要的条件，建立激励约束机制，鼓励从业人员积极建言献策，营造自下而上、自上而下全员重视安全生产和职业卫生的良好氛围，不断改进和提升安全生产和职业卫生管理水平。</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6.4 全员参与</w:t>
            </w:r>
          </w:p>
          <w:p>
            <w:pPr>
              <w:snapToGrid w:val="0"/>
              <w:spacing w:line="240" w:lineRule="auto"/>
              <w:rPr>
                <w:rFonts w:hint="eastAsia" w:ascii="宋体" w:hAnsi="宋体" w:eastAsia="仿宋" w:cs="仿宋"/>
                <w:sz w:val="24"/>
              </w:rPr>
            </w:pPr>
            <w:r>
              <w:rPr>
                <w:rFonts w:hint="eastAsia" w:ascii="宋体" w:hAnsi="宋体" w:eastAsia="仿宋" w:cs="仿宋"/>
                <w:sz w:val="24"/>
              </w:rPr>
              <w:t>企业应畅通从业人员参与安全生产的渠道，鼓励从业人员参与安全生产管理。</w:t>
            </w:r>
          </w:p>
          <w:p>
            <w:pPr>
              <w:snapToGrid w:val="0"/>
              <w:spacing w:line="240" w:lineRule="auto"/>
              <w:rPr>
                <w:rFonts w:hint="eastAsia" w:ascii="宋体" w:hAnsi="宋体" w:eastAsia="仿宋" w:cs="仿宋"/>
                <w:sz w:val="24"/>
              </w:rPr>
            </w:pPr>
            <w:r>
              <w:rPr>
                <w:rFonts w:hint="eastAsia" w:ascii="宋体" w:hAnsi="宋体" w:eastAsia="仿宋" w:cs="仿宋"/>
                <w:sz w:val="24"/>
              </w:rPr>
              <w:t>应及时收集、答复、落实从业人员提出的安全生产建议和举报。</w:t>
            </w:r>
          </w:p>
          <w:p>
            <w:pPr>
              <w:snapToGrid w:val="0"/>
              <w:spacing w:line="240" w:lineRule="auto"/>
              <w:rPr>
                <w:rFonts w:hint="eastAsia" w:ascii="宋体" w:hAnsi="宋体" w:eastAsia="仿宋" w:cs="仿宋"/>
                <w:sz w:val="24"/>
              </w:rPr>
            </w:pPr>
            <w:r>
              <w:rPr>
                <w:rFonts w:hint="eastAsia" w:ascii="宋体" w:hAnsi="宋体" w:eastAsia="仿宋" w:cs="仿宋"/>
                <w:sz w:val="24"/>
              </w:rPr>
              <w:t>工会应对安全生产工作进行监督，保障从业人员参加安全生产民主管理和民主监督的权利，维护其安全生产合法权益。</w:t>
            </w:r>
          </w:p>
        </w:tc>
        <w:tc>
          <w:tcPr>
            <w:tcW w:w="1657" w:type="pct"/>
            <w:vAlign w:val="center"/>
          </w:tcPr>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参考《中华人民共和国安全生产法》生产经营单位应加强对全员安全生产责任制落实情况的监督考核，保证全员安全生产责任制的落实，并增加了工会对安全生产的监督保障工作。</w:t>
            </w:r>
          </w:p>
          <w:p>
            <w:pPr>
              <w:spacing w:line="240" w:lineRule="auto"/>
              <w:jc w:val="left"/>
              <w:rPr>
                <w:rFonts w:hint="eastAsia" w:ascii="宋体" w:hAnsi="宋体"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20</w:t>
            </w:r>
          </w:p>
        </w:tc>
        <w:tc>
          <w:tcPr>
            <w:tcW w:w="1550" w:type="pct"/>
            <w:vAlign w:val="center"/>
          </w:tcPr>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6.5 信息沟通</w:t>
            </w:r>
          </w:p>
          <w:p>
            <w:pPr>
              <w:snapToGrid w:val="0"/>
              <w:spacing w:line="240" w:lineRule="auto"/>
              <w:rPr>
                <w:rFonts w:hint="eastAsia" w:ascii="宋体" w:hAnsi="宋体" w:eastAsia="仿宋" w:cs="仿宋"/>
                <w:sz w:val="24"/>
              </w:rPr>
            </w:pPr>
            <w:r>
              <w:rPr>
                <w:rFonts w:hint="eastAsia" w:ascii="宋体" w:hAnsi="宋体" w:eastAsia="仿宋" w:cs="仿宋"/>
                <w:sz w:val="24"/>
              </w:rPr>
              <w:t>企业应明确安全生产信息沟通的内容、范围和方式，确保安全生产信息在企业内部、外部得到及时、准确、全面</w:t>
            </w:r>
            <w:r>
              <w:rPr>
                <w:rFonts w:hint="eastAsia" w:ascii="宋体" w:hAnsi="宋体" w:eastAsia="仿宋" w:cs="仿宋"/>
                <w:sz w:val="24"/>
                <w:shd w:val="clear" w:fill="FFFFFF"/>
              </w:rPr>
              <w:t>的</w:t>
            </w:r>
            <w:r>
              <w:rPr>
                <w:rFonts w:hint="eastAsia" w:ascii="宋体" w:hAnsi="宋体" w:eastAsia="仿宋" w:cs="仿宋"/>
                <w:sz w:val="24"/>
              </w:rPr>
              <w:t>沟通和处理，并保存记录。</w:t>
            </w:r>
          </w:p>
          <w:p>
            <w:pPr>
              <w:snapToGrid w:val="0"/>
              <w:spacing w:line="240" w:lineRule="auto"/>
              <w:rPr>
                <w:rFonts w:hint="eastAsia" w:ascii="宋体" w:hAnsi="宋体" w:eastAsia="仿宋" w:cs="仿宋"/>
                <w:sz w:val="24"/>
              </w:rPr>
            </w:pPr>
            <w:r>
              <w:rPr>
                <w:rFonts w:hint="eastAsia" w:ascii="宋体" w:hAnsi="宋体" w:eastAsia="仿宋" w:cs="仿宋"/>
                <w:sz w:val="24"/>
              </w:rPr>
              <w:t>信息沟通可采用文件、会议、交流、培训、协商等方式开展，包括但不限于以下内容：</w:t>
            </w:r>
          </w:p>
          <w:p>
            <w:pPr>
              <w:snapToGrid w:val="0"/>
              <w:spacing w:line="240" w:lineRule="auto"/>
              <w:rPr>
                <w:rFonts w:hint="eastAsia" w:ascii="宋体" w:hAnsi="宋体" w:eastAsia="仿宋" w:cs="仿宋"/>
                <w:sz w:val="24"/>
              </w:rPr>
            </w:pPr>
            <w:r>
              <w:rPr>
                <w:rFonts w:hint="eastAsia" w:ascii="宋体" w:hAnsi="宋体" w:eastAsia="仿宋" w:cs="仿宋"/>
                <w:sz w:val="24"/>
              </w:rPr>
              <w:t>a</w:t>
            </w:r>
            <w:r>
              <w:rPr>
                <w:rFonts w:hint="eastAsia" w:ascii="宋体" w:hAnsi="宋体" w:eastAsia="仿宋" w:cs="仿宋"/>
                <w:sz w:val="24"/>
                <w:shd w:val="clear" w:color="auto" w:fill="FFFFFF"/>
              </w:rPr>
              <w:t>)</w:t>
            </w:r>
            <w:r>
              <w:rPr>
                <w:rFonts w:hint="eastAsia" w:ascii="宋体" w:hAnsi="宋体" w:eastAsia="仿宋" w:cs="仿宋"/>
                <w:sz w:val="24"/>
              </w:rPr>
              <w:t>政府、行业的安全生产信息；</w:t>
            </w:r>
          </w:p>
          <w:p>
            <w:pPr>
              <w:snapToGrid w:val="0"/>
              <w:spacing w:line="240" w:lineRule="auto"/>
              <w:rPr>
                <w:rFonts w:hint="eastAsia" w:ascii="宋体" w:hAnsi="宋体" w:eastAsia="仿宋" w:cs="仿宋"/>
                <w:sz w:val="24"/>
              </w:rPr>
            </w:pPr>
            <w:r>
              <w:rPr>
                <w:rFonts w:hint="eastAsia" w:ascii="宋体" w:hAnsi="宋体" w:eastAsia="仿宋" w:cs="仿宋"/>
                <w:sz w:val="24"/>
              </w:rPr>
              <w:t>b</w:t>
            </w:r>
            <w:r>
              <w:rPr>
                <w:rFonts w:hint="eastAsia" w:ascii="宋体" w:hAnsi="宋体" w:eastAsia="仿宋" w:cs="仿宋"/>
                <w:sz w:val="24"/>
                <w:shd w:val="clear" w:color="auto" w:fill="FFFFFF"/>
              </w:rPr>
              <w:t>)</w:t>
            </w:r>
            <w:r>
              <w:rPr>
                <w:rFonts w:hint="eastAsia" w:ascii="宋体" w:hAnsi="宋体" w:eastAsia="仿宋" w:cs="仿宋"/>
                <w:sz w:val="24"/>
                <w:shd w:val="clear" w:fill="FFFFFF"/>
              </w:rPr>
              <w:t>上</w:t>
            </w:r>
            <w:r>
              <w:rPr>
                <w:rFonts w:hint="eastAsia" w:ascii="宋体" w:hAnsi="宋体" w:eastAsia="仿宋" w:cs="仿宋"/>
                <w:sz w:val="24"/>
              </w:rPr>
              <w:t>级单位的安全生产信息；</w:t>
            </w:r>
          </w:p>
          <w:p>
            <w:pPr>
              <w:snapToGrid w:val="0"/>
              <w:spacing w:line="240" w:lineRule="auto"/>
              <w:rPr>
                <w:rFonts w:hint="eastAsia" w:ascii="宋体" w:hAnsi="宋体" w:eastAsia="仿宋" w:cs="仿宋"/>
                <w:sz w:val="24"/>
              </w:rPr>
            </w:pPr>
            <w:r>
              <w:rPr>
                <w:rFonts w:hint="eastAsia" w:ascii="宋体" w:hAnsi="宋体" w:eastAsia="仿宋" w:cs="仿宋"/>
                <w:sz w:val="24"/>
              </w:rPr>
              <w:t>c</w:t>
            </w:r>
            <w:r>
              <w:rPr>
                <w:rFonts w:hint="eastAsia" w:ascii="宋体" w:hAnsi="宋体" w:eastAsia="仿宋" w:cs="仿宋"/>
                <w:sz w:val="24"/>
                <w:shd w:val="clear" w:color="auto" w:fill="FFFFFF"/>
              </w:rPr>
              <w:t>)</w:t>
            </w:r>
            <w:r>
              <w:rPr>
                <w:rFonts w:hint="eastAsia" w:ascii="宋体" w:hAnsi="宋体" w:eastAsia="仿宋" w:cs="仿宋"/>
                <w:sz w:val="24"/>
              </w:rPr>
              <w:t>本企业安全生产活动的信息；</w:t>
            </w:r>
          </w:p>
          <w:p>
            <w:pPr>
              <w:snapToGrid w:val="0"/>
              <w:spacing w:line="240" w:lineRule="auto"/>
              <w:rPr>
                <w:rFonts w:hint="eastAsia" w:ascii="宋体" w:hAnsi="宋体" w:eastAsia="仿宋" w:cs="仿宋"/>
                <w:sz w:val="24"/>
              </w:rPr>
            </w:pPr>
            <w:r>
              <w:rPr>
                <w:rFonts w:hint="eastAsia" w:ascii="宋体" w:hAnsi="宋体" w:eastAsia="仿宋" w:cs="仿宋"/>
                <w:sz w:val="24"/>
              </w:rPr>
              <w:t>d</w:t>
            </w:r>
            <w:r>
              <w:rPr>
                <w:rFonts w:hint="eastAsia" w:ascii="宋体" w:hAnsi="宋体" w:eastAsia="仿宋" w:cs="仿宋"/>
                <w:sz w:val="24"/>
                <w:shd w:val="clear" w:color="auto" w:fill="FFFFFF"/>
              </w:rPr>
              <w:t>)</w:t>
            </w:r>
            <w:r>
              <w:rPr>
                <w:rFonts w:hint="eastAsia" w:ascii="宋体" w:hAnsi="宋体" w:eastAsia="仿宋" w:cs="仿宋"/>
                <w:sz w:val="24"/>
              </w:rPr>
              <w:t>相关方的安全生产信息。</w:t>
            </w:r>
          </w:p>
        </w:tc>
        <w:tc>
          <w:tcPr>
            <w:tcW w:w="1657" w:type="pct"/>
            <w:vAlign w:val="center"/>
          </w:tcPr>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参考《职业健康安全管理体系―要求及使用指南》（GB/T 45001-2020），增加信息沟通以保障风险的及时发现与有效应对，提升安全生产领域信息沟通的顺畅性，确保企业安全生产、提升管理效率、促进团队协作。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21</w:t>
            </w:r>
          </w:p>
        </w:tc>
        <w:tc>
          <w:tcPr>
            <w:tcW w:w="1550" w:type="pct"/>
            <w:vAlign w:val="center"/>
          </w:tcPr>
          <w:p>
            <w:pPr>
              <w:spacing w:line="240" w:lineRule="auto"/>
              <w:rPr>
                <w:rFonts w:hint="eastAsia" w:ascii="宋体" w:hAnsi="宋体" w:eastAsia="仿宋" w:cs="仿宋"/>
                <w:sz w:val="24"/>
                <w:szCs w:val="24"/>
              </w:rPr>
            </w:pPr>
            <w:r>
              <w:rPr>
                <w:rFonts w:hint="eastAsia" w:ascii="宋体" w:hAnsi="宋体" w:eastAsia="仿宋" w:cs="仿宋"/>
                <w:sz w:val="24"/>
                <w:szCs w:val="24"/>
              </w:rPr>
              <w:t>5.5.1.1 安全风险辨识</w:t>
            </w:r>
          </w:p>
          <w:p>
            <w:pPr>
              <w:spacing w:line="240" w:lineRule="auto"/>
              <w:rPr>
                <w:rFonts w:hint="eastAsia" w:ascii="宋体" w:hAnsi="宋体" w:eastAsia="仿宋" w:cs="仿宋"/>
                <w:sz w:val="24"/>
                <w:szCs w:val="24"/>
              </w:rPr>
            </w:pPr>
            <w:r>
              <w:rPr>
                <w:rFonts w:hint="eastAsia" w:ascii="宋体" w:hAnsi="宋体" w:eastAsia="仿宋" w:cs="仿宋"/>
                <w:sz w:val="24"/>
                <w:szCs w:val="24"/>
              </w:rPr>
              <w:t>企业应建立安全风险辨识管理制度，组织全员对本单位安全风险进行全面、系统</w:t>
            </w:r>
            <w:r>
              <w:rPr>
                <w:rFonts w:hint="eastAsia" w:ascii="宋体" w:hAnsi="宋体" w:eastAsia="仿宋" w:cs="仿宋"/>
                <w:sz w:val="24"/>
                <w:szCs w:val="24"/>
                <w:shd w:val="clear" w:fill="FFFFFF"/>
              </w:rPr>
              <w:t>的</w:t>
            </w:r>
            <w:r>
              <w:rPr>
                <w:rFonts w:hint="eastAsia" w:ascii="宋体" w:hAnsi="宋体" w:eastAsia="仿宋" w:cs="仿宋"/>
                <w:sz w:val="24"/>
                <w:szCs w:val="24"/>
              </w:rPr>
              <w:t>辨识。</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7.1 一般要求</w:t>
            </w:r>
          </w:p>
          <w:p>
            <w:pPr>
              <w:snapToGrid w:val="0"/>
              <w:spacing w:line="240" w:lineRule="auto"/>
              <w:rPr>
                <w:rFonts w:hint="eastAsia" w:ascii="宋体" w:hAnsi="宋体" w:eastAsia="仿宋" w:cs="仿宋"/>
                <w:sz w:val="24"/>
              </w:rPr>
            </w:pPr>
            <w:r>
              <w:rPr>
                <w:rFonts w:hint="eastAsia" w:ascii="宋体" w:hAnsi="宋体" w:eastAsia="仿宋" w:cs="仿宋"/>
                <w:sz w:val="24"/>
              </w:rPr>
              <w:t>企业应建立安全风险分级管控的管理要求，明确以下内容：</w:t>
            </w:r>
          </w:p>
          <w:p>
            <w:pPr>
              <w:snapToGrid w:val="0"/>
              <w:spacing w:line="240" w:lineRule="auto"/>
              <w:rPr>
                <w:rFonts w:hint="eastAsia" w:ascii="宋体" w:hAnsi="宋体" w:eastAsia="仿宋" w:cs="仿宋"/>
                <w:sz w:val="24"/>
              </w:rPr>
            </w:pPr>
            <w:r>
              <w:rPr>
                <w:rFonts w:hint="eastAsia" w:ascii="宋体" w:hAnsi="宋体" w:eastAsia="仿宋" w:cs="仿宋"/>
                <w:sz w:val="24"/>
              </w:rPr>
              <w:t>a</w:t>
            </w:r>
            <w:r>
              <w:rPr>
                <w:rFonts w:hint="eastAsia" w:ascii="宋体" w:hAnsi="宋体" w:eastAsia="仿宋" w:cs="仿宋"/>
                <w:sz w:val="24"/>
                <w:shd w:val="clear" w:color="auto" w:fill="FFFFFF"/>
              </w:rPr>
              <w:t>)</w:t>
            </w:r>
            <w:r>
              <w:rPr>
                <w:rFonts w:hint="eastAsia" w:ascii="宋体" w:hAnsi="宋体" w:eastAsia="仿宋" w:cs="仿宋"/>
                <w:sz w:val="24"/>
              </w:rPr>
              <w:t>危险源辨识的范围、人员、流程与频次；</w:t>
            </w:r>
          </w:p>
          <w:p>
            <w:pPr>
              <w:snapToGrid w:val="0"/>
              <w:spacing w:line="240" w:lineRule="auto"/>
              <w:rPr>
                <w:rFonts w:hint="eastAsia" w:ascii="宋体" w:hAnsi="宋体" w:eastAsia="仿宋" w:cs="仿宋"/>
                <w:sz w:val="24"/>
              </w:rPr>
            </w:pPr>
            <w:r>
              <w:rPr>
                <w:rFonts w:hint="eastAsia" w:ascii="宋体" w:hAnsi="宋体" w:eastAsia="仿宋" w:cs="仿宋"/>
                <w:sz w:val="24"/>
              </w:rPr>
              <w:t>7.2 危险源辨识</w:t>
            </w:r>
          </w:p>
          <w:p>
            <w:pPr>
              <w:snapToGrid w:val="0"/>
              <w:spacing w:line="240" w:lineRule="auto"/>
              <w:rPr>
                <w:rFonts w:hint="eastAsia" w:ascii="宋体" w:hAnsi="宋体" w:eastAsia="仿宋" w:cs="仿宋"/>
                <w:sz w:val="24"/>
              </w:rPr>
            </w:pPr>
            <w:r>
              <w:rPr>
                <w:rFonts w:hint="eastAsia" w:ascii="宋体" w:hAnsi="宋体" w:eastAsia="仿宋" w:cs="仿宋"/>
                <w:sz w:val="24"/>
              </w:rPr>
              <w:t>企业应采用适宜的危险源辨识方法和程序，组织从业人员全面辨识生产系统、工艺技术、设备设施、作业环境、作业任务和人员行为等方面存在的危险源。</w:t>
            </w:r>
          </w:p>
        </w:tc>
        <w:tc>
          <w:tcPr>
            <w:tcW w:w="1657" w:type="pct"/>
            <w:vAlign w:val="center"/>
          </w:tcPr>
          <w:p>
            <w:pPr>
              <w:spacing w:line="240" w:lineRule="auto"/>
              <w:rPr>
                <w:rFonts w:hint="eastAsia" w:ascii="宋体" w:hAnsi="宋体" w:eastAsia="仿宋" w:cs="仿宋"/>
                <w:sz w:val="24"/>
                <w:szCs w:val="24"/>
              </w:rPr>
            </w:pPr>
            <w:r>
              <w:rPr>
                <w:rFonts w:hint="eastAsia" w:ascii="宋体" w:hAnsi="宋体" w:eastAsia="仿宋" w:cs="仿宋"/>
                <w:sz w:val="24"/>
                <w:szCs w:val="24"/>
              </w:rPr>
              <w:t>根据新框架，调整了制度建立要求的位置，融入“一般要求”建立安全风险分级管控管理要求；组织全员系统辨识的要求保留至“危险源辨识”。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22</w:t>
            </w:r>
          </w:p>
        </w:tc>
        <w:tc>
          <w:tcPr>
            <w:tcW w:w="1550" w:type="pct"/>
            <w:vAlign w:val="center"/>
          </w:tcPr>
          <w:p>
            <w:pPr>
              <w:spacing w:line="240" w:lineRule="auto"/>
              <w:rPr>
                <w:rFonts w:hint="eastAsia" w:ascii="宋体" w:hAnsi="宋体" w:eastAsia="仿宋" w:cs="仿宋"/>
                <w:sz w:val="24"/>
                <w:szCs w:val="24"/>
              </w:rPr>
            </w:pPr>
            <w:r>
              <w:rPr>
                <w:rFonts w:hint="eastAsia" w:ascii="宋体" w:hAnsi="宋体" w:eastAsia="仿宋" w:cs="仿宋"/>
                <w:sz w:val="24"/>
                <w:szCs w:val="24"/>
              </w:rPr>
              <w:t>5.5.1.1 安全风险辨识</w:t>
            </w:r>
          </w:p>
          <w:p>
            <w:pPr>
              <w:spacing w:line="240" w:lineRule="auto"/>
              <w:rPr>
                <w:rFonts w:hint="eastAsia" w:ascii="宋体" w:hAnsi="宋体" w:eastAsia="仿宋" w:cs="仿宋"/>
                <w:sz w:val="24"/>
                <w:szCs w:val="24"/>
              </w:rPr>
            </w:pPr>
            <w:r>
              <w:rPr>
                <w:rFonts w:hint="eastAsia" w:ascii="宋体" w:hAnsi="宋体" w:eastAsia="仿宋" w:cs="仿宋"/>
                <w:sz w:val="24"/>
                <w:szCs w:val="24"/>
              </w:rPr>
              <w:t>安全风险辨识范围应覆盖本单位的所有活动及区域，并考虑正常、异常和紧急三种状态及过去、现在和将来三种</w:t>
            </w:r>
            <w:r>
              <w:rPr>
                <w:rFonts w:hint="eastAsia" w:ascii="宋体" w:hAnsi="宋体" w:eastAsia="仿宋" w:cs="仿宋"/>
                <w:sz w:val="24"/>
                <w:szCs w:val="24"/>
                <w:shd w:val="clear" w:color="auto" w:fill="FFFFFF"/>
              </w:rPr>
              <w:t>时态</w:t>
            </w:r>
            <w:r>
              <w:rPr>
                <w:rFonts w:hint="eastAsia" w:ascii="宋体" w:hAnsi="宋体" w:eastAsia="仿宋" w:cs="仿宋"/>
                <w:sz w:val="24"/>
                <w:szCs w:val="24"/>
              </w:rPr>
              <w:t>。安全风险辨识应采用适宜的方法和程序，且与现场实际相符。</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7.2 危险源辨识</w:t>
            </w:r>
          </w:p>
          <w:p>
            <w:pPr>
              <w:snapToGrid w:val="0"/>
              <w:spacing w:line="240" w:lineRule="auto"/>
              <w:rPr>
                <w:rFonts w:hint="eastAsia" w:ascii="宋体" w:hAnsi="宋体" w:eastAsia="仿宋" w:cs="仿宋"/>
                <w:sz w:val="24"/>
              </w:rPr>
            </w:pPr>
            <w:r>
              <w:rPr>
                <w:rFonts w:hint="eastAsia" w:ascii="宋体" w:hAnsi="宋体" w:eastAsia="仿宋" w:cs="仿宋"/>
                <w:sz w:val="24"/>
              </w:rPr>
              <w:t>企业应采用适宜的危险源辨识方法和程序，组织从业人员全面辨识生产系统、工艺技术、设备设施、作业环境、作业任务和人员行为等方面存在的危险源。</w:t>
            </w:r>
          </w:p>
          <w:p>
            <w:pPr>
              <w:snapToGrid w:val="0"/>
              <w:spacing w:line="240" w:lineRule="auto"/>
              <w:rPr>
                <w:rFonts w:hint="eastAsia" w:ascii="宋体" w:hAnsi="宋体" w:eastAsia="仿宋" w:cs="仿宋"/>
                <w:sz w:val="24"/>
              </w:rPr>
            </w:pPr>
            <w:r>
              <w:rPr>
                <w:rFonts w:hint="eastAsia" w:ascii="宋体" w:hAnsi="宋体" w:eastAsia="仿宋" w:cs="仿宋"/>
                <w:sz w:val="24"/>
              </w:rPr>
              <w:t>危险源辨识范围应覆盖企业生产经营活动的所有环节及区域，并充分考虑正常、异常和紧急三种状态及过去、现在和将来三种</w:t>
            </w:r>
            <w:r>
              <w:rPr>
                <w:rFonts w:hint="eastAsia" w:ascii="宋体" w:hAnsi="宋体" w:eastAsia="仿宋" w:cs="仿宋"/>
                <w:sz w:val="24"/>
                <w:shd w:val="clear" w:color="auto" w:fill="FFFFFF"/>
              </w:rPr>
              <w:t>时态</w:t>
            </w:r>
            <w:r>
              <w:rPr>
                <w:rFonts w:hint="eastAsia" w:ascii="宋体" w:hAnsi="宋体" w:eastAsia="仿宋" w:cs="仿宋"/>
                <w:sz w:val="24"/>
              </w:rPr>
              <w:t>。</w:t>
            </w:r>
          </w:p>
        </w:tc>
        <w:tc>
          <w:tcPr>
            <w:tcW w:w="1657" w:type="pct"/>
            <w:vAlign w:val="center"/>
          </w:tcPr>
          <w:p>
            <w:pPr>
              <w:spacing w:line="240" w:lineRule="auto"/>
              <w:rPr>
                <w:rFonts w:hint="eastAsia" w:ascii="宋体" w:hAnsi="宋体" w:eastAsia="仿宋" w:cs="仿宋"/>
                <w:sz w:val="24"/>
                <w:szCs w:val="24"/>
              </w:rPr>
            </w:pPr>
            <w:r>
              <w:rPr>
                <w:rFonts w:hint="eastAsia" w:ascii="宋体" w:hAnsi="宋体" w:eastAsia="仿宋" w:cs="仿宋"/>
                <w:sz w:val="24"/>
                <w:szCs w:val="24"/>
              </w:rPr>
              <w:t>调整保留了相关要求。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23</w:t>
            </w:r>
          </w:p>
        </w:tc>
        <w:tc>
          <w:tcPr>
            <w:tcW w:w="1550" w:type="pct"/>
            <w:vAlign w:val="center"/>
          </w:tcPr>
          <w:p>
            <w:pPr>
              <w:spacing w:line="240" w:lineRule="auto"/>
              <w:rPr>
                <w:rFonts w:hint="eastAsia" w:ascii="宋体" w:hAnsi="宋体" w:eastAsia="仿宋" w:cs="仿宋"/>
                <w:sz w:val="24"/>
                <w:szCs w:val="24"/>
              </w:rPr>
            </w:pPr>
            <w:r>
              <w:rPr>
                <w:rFonts w:hint="eastAsia" w:ascii="宋体" w:hAnsi="宋体" w:eastAsia="仿宋" w:cs="仿宋"/>
                <w:sz w:val="24"/>
                <w:szCs w:val="24"/>
              </w:rPr>
              <w:t>5.5.1.1 安全风险辨识</w:t>
            </w:r>
          </w:p>
          <w:p>
            <w:pPr>
              <w:spacing w:line="240" w:lineRule="auto"/>
              <w:rPr>
                <w:rFonts w:hint="eastAsia" w:ascii="宋体" w:hAnsi="宋体" w:eastAsia="仿宋" w:cs="仿宋"/>
                <w:sz w:val="24"/>
                <w:szCs w:val="24"/>
              </w:rPr>
            </w:pPr>
            <w:r>
              <w:rPr>
                <w:rFonts w:hint="eastAsia" w:ascii="宋体" w:hAnsi="宋体" w:eastAsia="仿宋" w:cs="仿宋"/>
                <w:sz w:val="24"/>
                <w:szCs w:val="24"/>
              </w:rPr>
              <w:t>企业应对安全风险辨识资料进行统计、分析、整理和归档。</w:t>
            </w:r>
          </w:p>
        </w:tc>
        <w:tc>
          <w:tcPr>
            <w:tcW w:w="1535" w:type="pct"/>
            <w:vAlign w:val="center"/>
          </w:tcPr>
          <w:p>
            <w:pPr>
              <w:spacing w:line="240" w:lineRule="auto"/>
              <w:rPr>
                <w:rFonts w:hint="eastAsia" w:ascii="宋体" w:hAnsi="宋体" w:eastAsia="仿宋" w:cs="仿宋"/>
                <w:sz w:val="24"/>
                <w:szCs w:val="24"/>
              </w:rPr>
            </w:pPr>
            <w:r>
              <w:rPr>
                <w:rFonts w:hint="eastAsia" w:ascii="宋体" w:hAnsi="宋体" w:eastAsia="仿宋" w:cs="仿宋"/>
                <w:sz w:val="24"/>
                <w:szCs w:val="24"/>
              </w:rPr>
              <w:t>--</w:t>
            </w:r>
          </w:p>
        </w:tc>
        <w:tc>
          <w:tcPr>
            <w:tcW w:w="1657" w:type="pct"/>
            <w:vAlign w:val="center"/>
          </w:tcPr>
          <w:p>
            <w:pPr>
              <w:spacing w:line="240" w:lineRule="auto"/>
              <w:rPr>
                <w:rFonts w:hint="eastAsia" w:ascii="宋体" w:hAnsi="宋体" w:eastAsia="仿宋" w:cs="仿宋"/>
                <w:sz w:val="24"/>
                <w:szCs w:val="24"/>
              </w:rPr>
            </w:pPr>
            <w:r>
              <w:rPr>
                <w:rFonts w:hint="eastAsia" w:ascii="宋体" w:hAnsi="宋体" w:eastAsia="仿宋" w:cs="仿宋"/>
                <w:sz w:val="24"/>
                <w:szCs w:val="24"/>
              </w:rPr>
              <w:t>新标准把文件档案统计管理纳入5.3.1文件管理中，此处删除。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24</w:t>
            </w:r>
          </w:p>
        </w:tc>
        <w:tc>
          <w:tcPr>
            <w:tcW w:w="1550" w:type="pct"/>
            <w:vAlign w:val="center"/>
          </w:tcPr>
          <w:p>
            <w:pPr>
              <w:spacing w:line="240" w:lineRule="auto"/>
              <w:rPr>
                <w:rFonts w:hint="eastAsia" w:ascii="宋体" w:hAnsi="宋体" w:eastAsia="仿宋" w:cs="仿宋"/>
                <w:sz w:val="24"/>
                <w:szCs w:val="24"/>
              </w:rPr>
            </w:pPr>
            <w:r>
              <w:rPr>
                <w:rFonts w:hint="eastAsia" w:ascii="宋体" w:hAnsi="宋体" w:eastAsia="仿宋" w:cs="仿宋"/>
                <w:sz w:val="24"/>
                <w:szCs w:val="24"/>
              </w:rPr>
              <w:t>5.5.1.2 安全风险评估</w:t>
            </w:r>
          </w:p>
          <w:p>
            <w:pPr>
              <w:spacing w:line="240" w:lineRule="auto"/>
              <w:rPr>
                <w:rFonts w:hint="eastAsia" w:ascii="宋体" w:hAnsi="宋体" w:eastAsia="仿宋" w:cs="仿宋"/>
                <w:sz w:val="24"/>
                <w:szCs w:val="24"/>
              </w:rPr>
            </w:pPr>
            <w:r>
              <w:rPr>
                <w:rFonts w:hint="eastAsia" w:ascii="宋体" w:hAnsi="宋体" w:eastAsia="仿宋" w:cs="仿宋"/>
                <w:sz w:val="24"/>
                <w:szCs w:val="24"/>
              </w:rPr>
              <w:t>企业应建立安全风险评估管理制度，明确安全风险评估的目的、范围、频次、准则和工作程序等。</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7.1 一般要求</w:t>
            </w:r>
          </w:p>
          <w:p>
            <w:pPr>
              <w:snapToGrid w:val="0"/>
              <w:spacing w:line="240" w:lineRule="auto"/>
              <w:rPr>
                <w:rFonts w:hint="eastAsia" w:ascii="宋体" w:hAnsi="宋体" w:eastAsia="仿宋" w:cs="仿宋"/>
                <w:sz w:val="24"/>
              </w:rPr>
            </w:pPr>
            <w:r>
              <w:rPr>
                <w:rFonts w:hint="eastAsia" w:ascii="宋体" w:hAnsi="宋体" w:eastAsia="仿宋" w:cs="仿宋"/>
                <w:sz w:val="24"/>
              </w:rPr>
              <w:t>企业应建立安全风险分级管控的管理要求，明确以下内容：</w:t>
            </w:r>
          </w:p>
          <w:p>
            <w:pPr>
              <w:snapToGrid w:val="0"/>
              <w:spacing w:line="240" w:lineRule="auto"/>
              <w:rPr>
                <w:rFonts w:hint="eastAsia" w:ascii="宋体" w:hAnsi="宋体" w:eastAsia="仿宋" w:cs="仿宋"/>
                <w:sz w:val="24"/>
              </w:rPr>
            </w:pPr>
            <w:r>
              <w:rPr>
                <w:rFonts w:hint="eastAsia" w:ascii="宋体" w:hAnsi="宋体" w:eastAsia="仿宋" w:cs="仿宋"/>
                <w:sz w:val="24"/>
              </w:rPr>
              <w:t>b</w:t>
            </w:r>
            <w:r>
              <w:rPr>
                <w:rFonts w:hint="eastAsia" w:ascii="宋体" w:hAnsi="宋体" w:eastAsia="仿宋" w:cs="仿宋"/>
                <w:sz w:val="24"/>
                <w:shd w:val="clear" w:color="auto" w:fill="FFFFFF"/>
              </w:rPr>
              <w:t>)</w:t>
            </w:r>
            <w:r>
              <w:rPr>
                <w:rFonts w:hint="eastAsia" w:ascii="宋体" w:hAnsi="宋体" w:eastAsia="仿宋" w:cs="仿宋"/>
                <w:sz w:val="24"/>
              </w:rPr>
              <w:t>风险评估的方法、分级标准和流程；</w:t>
            </w:r>
          </w:p>
          <w:p>
            <w:pPr>
              <w:snapToGrid w:val="0"/>
              <w:spacing w:line="240" w:lineRule="auto"/>
              <w:rPr>
                <w:rFonts w:hint="eastAsia" w:ascii="宋体" w:hAnsi="宋体" w:eastAsia="仿宋" w:cs="仿宋"/>
                <w:sz w:val="24"/>
              </w:rPr>
            </w:pPr>
            <w:r>
              <w:rPr>
                <w:rFonts w:hint="eastAsia" w:ascii="宋体" w:hAnsi="宋体" w:eastAsia="仿宋" w:cs="仿宋"/>
                <w:sz w:val="24"/>
              </w:rPr>
              <w:t>c</w:t>
            </w:r>
            <w:r>
              <w:rPr>
                <w:rFonts w:hint="eastAsia" w:ascii="宋体" w:hAnsi="宋体" w:eastAsia="仿宋" w:cs="仿宋"/>
                <w:sz w:val="24"/>
                <w:shd w:val="clear" w:fill="FFFFFF"/>
              </w:rPr>
              <w:t>)</w:t>
            </w:r>
            <w:r>
              <w:rPr>
                <w:rFonts w:hint="eastAsia" w:ascii="宋体" w:hAnsi="宋体" w:eastAsia="仿宋" w:cs="仿宋"/>
                <w:sz w:val="24"/>
              </w:rPr>
              <w:t>风险分级管控的准则。</w:t>
            </w:r>
          </w:p>
        </w:tc>
        <w:tc>
          <w:tcPr>
            <w:tcW w:w="1657" w:type="pct"/>
            <w:vAlign w:val="center"/>
          </w:tcPr>
          <w:p>
            <w:pPr>
              <w:spacing w:line="240" w:lineRule="auto"/>
              <w:rPr>
                <w:rFonts w:hint="eastAsia" w:ascii="宋体" w:hAnsi="宋体" w:eastAsia="仿宋" w:cs="仿宋"/>
                <w:sz w:val="24"/>
                <w:szCs w:val="24"/>
              </w:rPr>
            </w:pPr>
            <w:r>
              <w:rPr>
                <w:rFonts w:hint="eastAsia" w:ascii="宋体" w:hAnsi="宋体" w:eastAsia="仿宋" w:cs="仿宋"/>
                <w:sz w:val="24"/>
                <w:szCs w:val="24"/>
              </w:rPr>
              <w:t>根据新框架，调整了制度建立要求的位置，融入“一般要求”建立安全风险分级管控管理要求。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25</w:t>
            </w:r>
          </w:p>
        </w:tc>
        <w:tc>
          <w:tcPr>
            <w:tcW w:w="1550" w:type="pct"/>
            <w:vAlign w:val="center"/>
          </w:tcPr>
          <w:p>
            <w:pPr>
              <w:spacing w:line="240" w:lineRule="auto"/>
              <w:rPr>
                <w:rFonts w:hint="eastAsia" w:ascii="宋体" w:hAnsi="宋体" w:eastAsia="仿宋" w:cs="仿宋"/>
                <w:sz w:val="24"/>
                <w:szCs w:val="24"/>
              </w:rPr>
            </w:pPr>
            <w:r>
              <w:rPr>
                <w:rFonts w:hint="eastAsia" w:ascii="宋体" w:hAnsi="宋体" w:eastAsia="仿宋" w:cs="仿宋"/>
                <w:sz w:val="24"/>
                <w:szCs w:val="24"/>
              </w:rPr>
              <w:t>5.5.1.2 安全风险评估</w:t>
            </w:r>
          </w:p>
          <w:p>
            <w:pPr>
              <w:spacing w:line="240" w:lineRule="auto"/>
              <w:rPr>
                <w:rFonts w:hint="eastAsia" w:ascii="宋体" w:hAnsi="宋体" w:eastAsia="仿宋" w:cs="仿宋"/>
                <w:sz w:val="24"/>
                <w:szCs w:val="24"/>
              </w:rPr>
            </w:pPr>
            <w:r>
              <w:rPr>
                <w:rFonts w:hint="eastAsia" w:ascii="宋体" w:hAnsi="宋体" w:eastAsia="仿宋" w:cs="仿宋"/>
                <w:sz w:val="24"/>
                <w:szCs w:val="24"/>
              </w:rPr>
              <w:t>企业应选择合适的安全风险评估方法，定期对所辨识出的存在安全风险的作业活动、设备设施、物料等进行评估。在进行安全风险评估时，至少应从影响</w:t>
            </w:r>
            <w:r>
              <w:rPr>
                <w:rFonts w:hint="eastAsia" w:ascii="宋体" w:hAnsi="宋体" w:eastAsia="仿宋" w:cs="仿宋"/>
                <w:sz w:val="24"/>
                <w:szCs w:val="24"/>
                <w:shd w:val="clear" w:color="auto" w:fill="FFFFFF"/>
              </w:rPr>
              <w:t>人</w:t>
            </w:r>
            <w:r>
              <w:rPr>
                <w:rFonts w:hint="eastAsia" w:ascii="宋体" w:hAnsi="宋体" w:eastAsia="仿宋" w:cs="仿宋"/>
                <w:sz w:val="24"/>
                <w:szCs w:val="24"/>
              </w:rPr>
              <w:t>、财产和环境三个方面的可能性和严重程度进行分析。</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7.3 风险评估</w:t>
            </w:r>
          </w:p>
          <w:p>
            <w:pPr>
              <w:snapToGrid w:val="0"/>
              <w:spacing w:line="240" w:lineRule="auto"/>
              <w:rPr>
                <w:rFonts w:hint="eastAsia" w:ascii="宋体" w:hAnsi="宋体" w:eastAsia="仿宋" w:cs="仿宋"/>
                <w:sz w:val="24"/>
              </w:rPr>
            </w:pPr>
            <w:r>
              <w:rPr>
                <w:rFonts w:hint="eastAsia" w:ascii="宋体" w:hAnsi="宋体" w:eastAsia="仿宋" w:cs="仿宋"/>
                <w:sz w:val="24"/>
              </w:rPr>
              <w:t>企业应采用适宜的风险评估方法，对辨识出的危险源及现有控制措施的有效性进行风险评估，确定安全风险等级。</w:t>
            </w:r>
          </w:p>
          <w:p>
            <w:pPr>
              <w:snapToGrid w:val="0"/>
              <w:spacing w:line="240" w:lineRule="auto"/>
              <w:rPr>
                <w:rFonts w:hint="eastAsia" w:ascii="宋体" w:hAnsi="宋体" w:eastAsia="仿宋" w:cs="仿宋"/>
                <w:sz w:val="24"/>
              </w:rPr>
            </w:pPr>
            <w:r>
              <w:rPr>
                <w:rFonts w:hint="eastAsia" w:ascii="宋体" w:hAnsi="宋体" w:eastAsia="仿宋" w:cs="仿宋"/>
                <w:sz w:val="24"/>
              </w:rPr>
              <w:t>应至少每年组织开展一次风险评估，当危险源辨识结果发生变化时，应重新进行风险评估。</w:t>
            </w:r>
          </w:p>
        </w:tc>
        <w:tc>
          <w:tcPr>
            <w:tcW w:w="1657" w:type="pct"/>
            <w:vAlign w:val="center"/>
          </w:tcPr>
          <w:p>
            <w:pPr>
              <w:spacing w:line="240" w:lineRule="auto"/>
              <w:rPr>
                <w:rFonts w:hint="eastAsia" w:ascii="宋体" w:hAnsi="宋体" w:eastAsia="仿宋" w:cs="仿宋"/>
                <w:sz w:val="24"/>
                <w:szCs w:val="24"/>
              </w:rPr>
            </w:pPr>
            <w:r>
              <w:rPr>
                <w:rFonts w:hint="eastAsia" w:ascii="宋体" w:hAnsi="宋体" w:eastAsia="仿宋" w:cs="仿宋"/>
                <w:sz w:val="24"/>
                <w:szCs w:val="24"/>
              </w:rPr>
              <w:t>调整保留了评估方法选择和定期开展评估的要求，明确了开展风险评估的频次要求。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26</w:t>
            </w:r>
          </w:p>
        </w:tc>
        <w:tc>
          <w:tcPr>
            <w:tcW w:w="1550" w:type="pct"/>
            <w:vAlign w:val="center"/>
          </w:tcPr>
          <w:p>
            <w:pPr>
              <w:spacing w:line="240" w:lineRule="auto"/>
              <w:rPr>
                <w:rFonts w:hint="eastAsia" w:ascii="宋体" w:hAnsi="宋体" w:eastAsia="仿宋" w:cs="仿宋"/>
                <w:sz w:val="24"/>
                <w:szCs w:val="24"/>
              </w:rPr>
            </w:pPr>
            <w:r>
              <w:rPr>
                <w:rFonts w:hint="eastAsia" w:ascii="宋体" w:hAnsi="宋体" w:eastAsia="仿宋" w:cs="仿宋"/>
                <w:sz w:val="24"/>
                <w:szCs w:val="24"/>
              </w:rPr>
              <w:t>5.5.1.2 安全风险评估</w:t>
            </w:r>
          </w:p>
          <w:p>
            <w:pPr>
              <w:spacing w:line="240" w:lineRule="auto"/>
              <w:rPr>
                <w:rFonts w:hint="eastAsia" w:ascii="宋体" w:hAnsi="宋体" w:eastAsia="仿宋" w:cs="仿宋"/>
                <w:sz w:val="24"/>
                <w:szCs w:val="24"/>
              </w:rPr>
            </w:pPr>
            <w:r>
              <w:rPr>
                <w:rFonts w:hint="eastAsia" w:ascii="宋体" w:hAnsi="宋体" w:eastAsia="仿宋" w:cs="仿宋"/>
                <w:sz w:val="24"/>
                <w:szCs w:val="24"/>
              </w:rPr>
              <w:t>矿山、金属冶炼和危险物品生产、储存企业，每3年应委托具备规定资质条件的专业技术服务机构对本企业的安全生产状况进行安全评价。</w:t>
            </w:r>
          </w:p>
        </w:tc>
        <w:tc>
          <w:tcPr>
            <w:tcW w:w="1535" w:type="pct"/>
            <w:vAlign w:val="center"/>
          </w:tcPr>
          <w:p>
            <w:pPr>
              <w:spacing w:line="240" w:lineRule="auto"/>
              <w:rPr>
                <w:rFonts w:hint="eastAsia" w:ascii="宋体" w:hAnsi="宋体" w:eastAsia="仿宋" w:cs="仿宋"/>
                <w:sz w:val="24"/>
                <w:szCs w:val="24"/>
              </w:rPr>
            </w:pPr>
            <w:r>
              <w:rPr>
                <w:rFonts w:hint="eastAsia" w:ascii="宋体" w:hAnsi="宋体" w:eastAsia="仿宋" w:cs="仿宋"/>
                <w:sz w:val="24"/>
                <w:szCs w:val="24"/>
              </w:rPr>
              <w:t>--</w:t>
            </w:r>
          </w:p>
        </w:tc>
        <w:tc>
          <w:tcPr>
            <w:tcW w:w="1657" w:type="pct"/>
            <w:vAlign w:val="center"/>
          </w:tcPr>
          <w:p>
            <w:pPr>
              <w:spacing w:line="240" w:lineRule="auto"/>
              <w:rPr>
                <w:rFonts w:hint="eastAsia" w:ascii="宋体" w:hAnsi="宋体" w:eastAsia="仿宋" w:cs="仿宋"/>
                <w:sz w:val="24"/>
                <w:szCs w:val="24"/>
              </w:rPr>
            </w:pPr>
            <w:r>
              <w:rPr>
                <w:rFonts w:hint="eastAsia" w:ascii="宋体" w:hAnsi="宋体" w:eastAsia="仿宋" w:cs="仿宋"/>
                <w:sz w:val="24"/>
                <w:szCs w:val="24"/>
              </w:rPr>
              <w:t>删减了特定行业的风险评估管理要求。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27</w:t>
            </w:r>
          </w:p>
        </w:tc>
        <w:tc>
          <w:tcPr>
            <w:tcW w:w="1550" w:type="pct"/>
            <w:vAlign w:val="center"/>
          </w:tcPr>
          <w:p>
            <w:pPr>
              <w:spacing w:line="240" w:lineRule="auto"/>
              <w:rPr>
                <w:rFonts w:hint="eastAsia" w:ascii="宋体" w:hAnsi="宋体" w:eastAsia="仿宋" w:cs="仿宋"/>
                <w:sz w:val="24"/>
                <w:szCs w:val="24"/>
              </w:rPr>
            </w:pPr>
            <w:r>
              <w:rPr>
                <w:rFonts w:hint="eastAsia" w:ascii="宋体" w:hAnsi="宋体" w:eastAsia="仿宋" w:cs="仿宋"/>
                <w:sz w:val="24"/>
                <w:szCs w:val="24"/>
              </w:rPr>
              <w:t>5.5.1.3 安全风险控制</w:t>
            </w:r>
          </w:p>
          <w:p>
            <w:pPr>
              <w:spacing w:line="240" w:lineRule="auto"/>
              <w:rPr>
                <w:rFonts w:hint="eastAsia" w:ascii="宋体" w:hAnsi="宋体" w:eastAsia="仿宋" w:cs="仿宋"/>
                <w:sz w:val="24"/>
                <w:szCs w:val="24"/>
              </w:rPr>
            </w:pPr>
            <w:r>
              <w:rPr>
                <w:rFonts w:hint="eastAsia" w:ascii="宋体" w:hAnsi="宋体" w:eastAsia="仿宋" w:cs="仿宋"/>
                <w:sz w:val="24"/>
                <w:szCs w:val="24"/>
              </w:rPr>
              <w:t>企业应选择工程技术措施、管理控制措施、个体防护措施等，对安全风险进行控制。</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7.4.1 控制措施</w:t>
            </w:r>
          </w:p>
          <w:p>
            <w:pPr>
              <w:snapToGrid w:val="0"/>
              <w:spacing w:line="240" w:lineRule="auto"/>
              <w:rPr>
                <w:rFonts w:hint="eastAsia" w:ascii="宋体" w:hAnsi="宋体" w:eastAsia="仿宋" w:cs="仿宋"/>
                <w:sz w:val="24"/>
              </w:rPr>
            </w:pPr>
            <w:r>
              <w:rPr>
                <w:rFonts w:hint="eastAsia" w:ascii="宋体" w:hAnsi="宋体" w:eastAsia="仿宋" w:cs="仿宋"/>
                <w:sz w:val="24"/>
              </w:rPr>
              <w:t>企业应针对不同等级的安全风险，实施差异化的动态管理。</w:t>
            </w:r>
          </w:p>
          <w:p>
            <w:pPr>
              <w:snapToGrid w:val="0"/>
              <w:spacing w:line="240" w:lineRule="auto"/>
              <w:rPr>
                <w:rFonts w:hint="eastAsia" w:ascii="宋体" w:hAnsi="宋体" w:eastAsia="仿宋" w:cs="仿宋"/>
                <w:sz w:val="24"/>
              </w:rPr>
            </w:pPr>
            <w:r>
              <w:rPr>
                <w:rFonts w:hint="eastAsia" w:ascii="宋体" w:hAnsi="宋体" w:eastAsia="仿宋" w:cs="仿宋"/>
                <w:sz w:val="24"/>
              </w:rPr>
              <w:t>应按消除、替代、降低、隔离、管理控制、个人防护的优先顺序，确定适宜的风险控制措施，并跟踪风险控制措施落实情况，确保其有效性。</w:t>
            </w:r>
          </w:p>
          <w:p>
            <w:pPr>
              <w:snapToGrid w:val="0"/>
              <w:spacing w:line="240" w:lineRule="auto"/>
              <w:rPr>
                <w:rFonts w:hint="eastAsia" w:ascii="宋体" w:hAnsi="宋体" w:eastAsia="仿宋" w:cs="仿宋"/>
                <w:sz w:val="24"/>
              </w:rPr>
            </w:pPr>
            <w:r>
              <w:rPr>
                <w:rFonts w:hint="eastAsia" w:ascii="宋体" w:hAnsi="宋体" w:eastAsia="仿宋" w:cs="仿宋"/>
                <w:sz w:val="24"/>
              </w:rPr>
              <w:t>风险控制措施应纳入规章制度、操作规程、应急预案等文件。</w:t>
            </w:r>
          </w:p>
        </w:tc>
        <w:tc>
          <w:tcPr>
            <w:tcW w:w="1657" w:type="pct"/>
            <w:vAlign w:val="center"/>
          </w:tcPr>
          <w:p>
            <w:pPr>
              <w:spacing w:line="240" w:lineRule="auto"/>
              <w:rPr>
                <w:rFonts w:hint="eastAsia" w:ascii="宋体" w:hAnsi="宋体" w:eastAsia="仿宋" w:cs="仿宋"/>
                <w:sz w:val="24"/>
                <w:szCs w:val="24"/>
              </w:rPr>
            </w:pPr>
            <w:r>
              <w:rPr>
                <w:rFonts w:hint="eastAsia" w:ascii="宋体" w:hAnsi="宋体" w:eastAsia="仿宋" w:cs="仿宋"/>
                <w:sz w:val="24"/>
                <w:szCs w:val="24"/>
              </w:rPr>
              <w:t>根据《HSE管理体系 第1部分： 规范》</w:t>
            </w:r>
            <w:r>
              <w:rPr>
                <w:rFonts w:hint="eastAsia" w:ascii="宋体" w:hAnsi="宋体" w:eastAsia="仿宋" w:cs="仿宋"/>
                <w:sz w:val="24"/>
                <w:szCs w:val="24"/>
                <w:lang w:eastAsia="zh-CN"/>
              </w:rPr>
              <w:t>（</w:t>
            </w:r>
            <w:r>
              <w:rPr>
                <w:rFonts w:hint="eastAsia" w:ascii="宋体" w:hAnsi="宋体" w:eastAsia="仿宋" w:cs="仿宋"/>
                <w:sz w:val="24"/>
                <w:szCs w:val="24"/>
              </w:rPr>
              <w:t>Q/SY 08002.1-2022</w:t>
            </w:r>
            <w:r>
              <w:rPr>
                <w:rFonts w:hint="eastAsia" w:ascii="宋体" w:hAnsi="宋体" w:eastAsia="仿宋" w:cs="仿宋"/>
                <w:sz w:val="24"/>
                <w:szCs w:val="24"/>
                <w:shd w:val="clear" w:color="auto" w:fill="FFFFFF"/>
                <w:lang w:eastAsia="zh-CN"/>
              </w:rPr>
              <w:t>）</w:t>
            </w:r>
            <w:r>
              <w:rPr>
                <w:rFonts w:hint="eastAsia" w:ascii="宋体" w:hAnsi="宋体" w:eastAsia="仿宋" w:cs="仿宋"/>
                <w:sz w:val="24"/>
                <w:szCs w:val="24"/>
              </w:rPr>
              <w:t>明确安全风险控制措施的采用顺序。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28</w:t>
            </w:r>
          </w:p>
        </w:tc>
        <w:tc>
          <w:tcPr>
            <w:tcW w:w="1550" w:type="pct"/>
            <w:vAlign w:val="center"/>
          </w:tcPr>
          <w:p>
            <w:pPr>
              <w:spacing w:line="240" w:lineRule="auto"/>
              <w:rPr>
                <w:rFonts w:hint="eastAsia" w:ascii="宋体" w:hAnsi="宋体" w:eastAsia="仿宋" w:cs="仿宋"/>
                <w:sz w:val="24"/>
                <w:szCs w:val="24"/>
              </w:rPr>
            </w:pPr>
            <w:r>
              <w:rPr>
                <w:rFonts w:hint="eastAsia" w:ascii="宋体" w:hAnsi="宋体" w:eastAsia="仿宋" w:cs="仿宋"/>
                <w:sz w:val="24"/>
                <w:szCs w:val="24"/>
              </w:rPr>
              <w:t>5.5.1.3 安全风险控制</w:t>
            </w:r>
          </w:p>
          <w:p>
            <w:pPr>
              <w:spacing w:line="240" w:lineRule="auto"/>
              <w:rPr>
                <w:rFonts w:hint="eastAsia" w:ascii="宋体" w:hAnsi="宋体" w:eastAsia="仿宋" w:cs="仿宋"/>
                <w:sz w:val="24"/>
                <w:szCs w:val="24"/>
              </w:rPr>
            </w:pPr>
            <w:r>
              <w:rPr>
                <w:rFonts w:hint="eastAsia" w:ascii="宋体" w:hAnsi="宋体" w:eastAsia="仿宋" w:cs="仿宋"/>
                <w:sz w:val="24"/>
                <w:szCs w:val="24"/>
              </w:rPr>
              <w:t>企业应根据安全风险评估结果及生产经营状况等，确定相应的安全风险等级，对其进行分级分类管理，实施安全风险差异化动态管理，制定并落实相应的安全风险控制措施。</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7.3 风险评估</w:t>
            </w:r>
          </w:p>
          <w:p>
            <w:pPr>
              <w:snapToGrid w:val="0"/>
              <w:spacing w:line="240" w:lineRule="auto"/>
              <w:rPr>
                <w:rFonts w:hint="eastAsia" w:ascii="宋体" w:hAnsi="宋体" w:eastAsia="仿宋" w:cs="仿宋"/>
                <w:sz w:val="24"/>
              </w:rPr>
            </w:pPr>
            <w:r>
              <w:rPr>
                <w:rFonts w:hint="eastAsia" w:ascii="宋体" w:hAnsi="宋体" w:eastAsia="仿宋" w:cs="仿宋"/>
                <w:sz w:val="24"/>
              </w:rPr>
              <w:t>企业应采用适宜的风险评估方法，对辨识出的危险源及现有控制措施的有效性进行风险评估，确定安全风险等级。</w:t>
            </w:r>
          </w:p>
          <w:p>
            <w:pPr>
              <w:snapToGrid w:val="0"/>
              <w:spacing w:line="240" w:lineRule="auto"/>
              <w:rPr>
                <w:rFonts w:hint="eastAsia" w:ascii="宋体" w:hAnsi="宋体" w:eastAsia="仿宋" w:cs="仿宋"/>
                <w:sz w:val="24"/>
              </w:rPr>
            </w:pPr>
            <w:r>
              <w:rPr>
                <w:rFonts w:hint="eastAsia" w:ascii="宋体" w:hAnsi="宋体" w:eastAsia="仿宋" w:cs="仿宋"/>
                <w:sz w:val="24"/>
              </w:rPr>
              <w:t>应至少每年组织开展一次风险评估，当危险源辨识结果发生变化时，应重新进行风险评估。</w:t>
            </w:r>
          </w:p>
          <w:p>
            <w:pPr>
              <w:snapToGrid w:val="0"/>
              <w:spacing w:line="240" w:lineRule="auto"/>
              <w:rPr>
                <w:rFonts w:hint="eastAsia" w:ascii="宋体" w:hAnsi="宋体" w:eastAsia="仿宋" w:cs="仿宋"/>
                <w:sz w:val="24"/>
              </w:rPr>
            </w:pPr>
            <w:r>
              <w:rPr>
                <w:rFonts w:hint="eastAsia" w:ascii="宋体" w:hAnsi="宋体" w:eastAsia="仿宋" w:cs="仿宋"/>
                <w:sz w:val="24"/>
              </w:rPr>
              <w:t>7.4.1 控制措施</w:t>
            </w:r>
          </w:p>
          <w:p>
            <w:pPr>
              <w:snapToGrid w:val="0"/>
              <w:spacing w:line="240" w:lineRule="auto"/>
              <w:rPr>
                <w:rFonts w:hint="eastAsia" w:ascii="宋体" w:hAnsi="宋体" w:eastAsia="仿宋" w:cs="仿宋"/>
                <w:sz w:val="24"/>
              </w:rPr>
            </w:pPr>
            <w:r>
              <w:rPr>
                <w:rFonts w:hint="eastAsia" w:ascii="宋体" w:hAnsi="宋体" w:eastAsia="仿宋" w:cs="仿宋"/>
                <w:sz w:val="24"/>
              </w:rPr>
              <w:t>企业应针对不同等级的安全风险，实施差异化的动态管理。</w:t>
            </w:r>
          </w:p>
          <w:p>
            <w:pPr>
              <w:snapToGrid w:val="0"/>
              <w:spacing w:line="240" w:lineRule="auto"/>
              <w:rPr>
                <w:rFonts w:hint="eastAsia" w:ascii="宋体" w:hAnsi="宋体" w:eastAsia="仿宋" w:cs="仿宋"/>
                <w:sz w:val="24"/>
              </w:rPr>
            </w:pPr>
            <w:r>
              <w:rPr>
                <w:rFonts w:hint="eastAsia" w:ascii="宋体" w:hAnsi="宋体" w:eastAsia="仿宋" w:cs="仿宋"/>
                <w:sz w:val="24"/>
              </w:rPr>
              <w:t>应按消除、替代、降低、隔离、管理控制、个人防护的优先顺序，确定适宜的风险控制措施，并跟踪风险控制措施落实情况，确保其有效性。</w:t>
            </w:r>
          </w:p>
          <w:p>
            <w:pPr>
              <w:snapToGrid w:val="0"/>
              <w:spacing w:line="240" w:lineRule="auto"/>
              <w:rPr>
                <w:rFonts w:hint="eastAsia" w:ascii="宋体" w:hAnsi="宋体" w:eastAsia="仿宋" w:cs="仿宋"/>
                <w:sz w:val="24"/>
              </w:rPr>
            </w:pPr>
            <w:r>
              <w:rPr>
                <w:rFonts w:hint="eastAsia" w:ascii="宋体" w:hAnsi="宋体" w:eastAsia="仿宋" w:cs="仿宋"/>
                <w:sz w:val="24"/>
              </w:rPr>
              <w:t>风险控制措施应纳入规章制度、操作规程、应急预案等文件。</w:t>
            </w:r>
          </w:p>
        </w:tc>
        <w:tc>
          <w:tcPr>
            <w:tcW w:w="1657" w:type="pct"/>
            <w:vAlign w:val="center"/>
          </w:tcPr>
          <w:p>
            <w:pPr>
              <w:spacing w:line="240" w:lineRule="auto"/>
              <w:rPr>
                <w:rFonts w:hint="eastAsia" w:ascii="宋体" w:hAnsi="宋体" w:eastAsia="仿宋" w:cs="仿宋"/>
                <w:sz w:val="24"/>
                <w:szCs w:val="24"/>
              </w:rPr>
            </w:pPr>
            <w:r>
              <w:rPr>
                <w:rFonts w:hint="eastAsia" w:ascii="宋体" w:hAnsi="宋体" w:eastAsia="仿宋" w:cs="仿宋"/>
                <w:sz w:val="24"/>
                <w:szCs w:val="24"/>
              </w:rPr>
              <w:t>根据安全风险分级管控流程，把确定安全风险分级提至风险评估阶段，简化了风险分级分类管理要求。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29</w:t>
            </w:r>
          </w:p>
        </w:tc>
        <w:tc>
          <w:tcPr>
            <w:tcW w:w="1550" w:type="pct"/>
            <w:vAlign w:val="center"/>
          </w:tcPr>
          <w:p>
            <w:pPr>
              <w:spacing w:line="240" w:lineRule="auto"/>
              <w:rPr>
                <w:rFonts w:hint="eastAsia" w:ascii="宋体" w:hAnsi="宋体" w:eastAsia="仿宋" w:cs="仿宋"/>
                <w:sz w:val="24"/>
                <w:szCs w:val="24"/>
              </w:rPr>
            </w:pPr>
            <w:r>
              <w:rPr>
                <w:rFonts w:hint="eastAsia" w:ascii="宋体" w:hAnsi="宋体" w:eastAsia="仿宋" w:cs="仿宋"/>
                <w:sz w:val="24"/>
                <w:szCs w:val="24"/>
              </w:rPr>
              <w:t>5.5.1.3 安全风险控制</w:t>
            </w:r>
          </w:p>
          <w:p>
            <w:pPr>
              <w:spacing w:line="240" w:lineRule="auto"/>
              <w:rPr>
                <w:rFonts w:hint="eastAsia" w:ascii="宋体" w:hAnsi="宋体" w:eastAsia="仿宋" w:cs="仿宋"/>
                <w:sz w:val="24"/>
                <w:szCs w:val="24"/>
              </w:rPr>
            </w:pPr>
            <w:r>
              <w:rPr>
                <w:rFonts w:hint="eastAsia" w:ascii="宋体" w:hAnsi="宋体" w:eastAsia="仿宋" w:cs="仿宋"/>
                <w:sz w:val="24"/>
                <w:szCs w:val="24"/>
              </w:rPr>
              <w:t>企业应将安全风险评估结果及所采取的控制措施告知相关从业人员，使其熟悉工作岗位和作业环境中存在的安全风险，掌握、落实应采取的控制措施。</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7.1 一般要求</w:t>
            </w:r>
          </w:p>
          <w:p>
            <w:pPr>
              <w:snapToGrid w:val="0"/>
              <w:spacing w:line="240" w:lineRule="auto"/>
              <w:rPr>
                <w:rFonts w:hint="eastAsia" w:ascii="宋体" w:hAnsi="宋体" w:eastAsia="仿宋" w:cs="仿宋"/>
                <w:sz w:val="24"/>
              </w:rPr>
            </w:pPr>
            <w:r>
              <w:rPr>
                <w:rFonts w:hint="eastAsia" w:ascii="宋体" w:hAnsi="宋体" w:eastAsia="仿宋" w:cs="仿宋"/>
                <w:sz w:val="24"/>
              </w:rPr>
              <w:t>应定期组织开展安全风险分级管控培训，确保相关人员掌握危险源辨识、风险评估、风险分级管控的相关知识与技能。7.4.2 风险告知</w:t>
            </w:r>
          </w:p>
          <w:p>
            <w:pPr>
              <w:snapToGrid w:val="0"/>
              <w:spacing w:line="240" w:lineRule="auto"/>
              <w:rPr>
                <w:rFonts w:hint="eastAsia" w:ascii="宋体" w:hAnsi="宋体" w:eastAsia="仿宋" w:cs="仿宋"/>
                <w:sz w:val="24"/>
              </w:rPr>
            </w:pPr>
            <w:r>
              <w:rPr>
                <w:rFonts w:hint="eastAsia" w:ascii="宋体" w:hAnsi="宋体" w:eastAsia="仿宋" w:cs="仿宋"/>
                <w:sz w:val="24"/>
              </w:rPr>
              <w:t>企业应通过适宜的方式对进入生产作业场所的人员进行安全风险告知，告知内容应包括风险后果、管控措施、报告方式等。</w:t>
            </w:r>
          </w:p>
          <w:p>
            <w:pPr>
              <w:snapToGrid w:val="0"/>
              <w:spacing w:line="240" w:lineRule="auto"/>
              <w:rPr>
                <w:rFonts w:hint="eastAsia" w:ascii="宋体" w:hAnsi="宋体" w:eastAsia="仿宋" w:cs="仿宋"/>
                <w:sz w:val="24"/>
              </w:rPr>
            </w:pPr>
            <w:r>
              <w:rPr>
                <w:rFonts w:hint="eastAsia" w:ascii="宋体" w:hAnsi="宋体" w:eastAsia="仿宋" w:cs="仿宋"/>
                <w:sz w:val="24"/>
              </w:rPr>
              <w:t>应在适当的位置对重大安全风险进行公告，公告内容包括风险描述、管控措施、应急措施、责任人员等。</w:t>
            </w:r>
          </w:p>
          <w:p>
            <w:pPr>
              <w:snapToGrid w:val="0"/>
              <w:spacing w:line="240" w:lineRule="auto"/>
              <w:rPr>
                <w:rFonts w:hint="eastAsia" w:ascii="宋体" w:hAnsi="宋体" w:eastAsia="仿宋" w:cs="仿宋"/>
                <w:sz w:val="24"/>
              </w:rPr>
            </w:pPr>
            <w:r>
              <w:rPr>
                <w:rFonts w:hint="eastAsia" w:ascii="宋体" w:hAnsi="宋体" w:eastAsia="仿宋" w:cs="仿宋"/>
                <w:sz w:val="24"/>
              </w:rPr>
              <w:t>应按规定向政府有关部门报送重大安全风险清单及其管控措施。</w:t>
            </w:r>
          </w:p>
        </w:tc>
        <w:tc>
          <w:tcPr>
            <w:tcW w:w="1657" w:type="pct"/>
            <w:vAlign w:val="center"/>
          </w:tcPr>
          <w:p>
            <w:pPr>
              <w:spacing w:line="240" w:lineRule="auto"/>
              <w:rPr>
                <w:rFonts w:hint="eastAsia" w:ascii="宋体" w:hAnsi="宋体" w:eastAsia="仿宋" w:cs="仿宋"/>
                <w:sz w:val="24"/>
                <w:szCs w:val="24"/>
              </w:rPr>
            </w:pPr>
            <w:r>
              <w:rPr>
                <w:rFonts w:hint="eastAsia" w:ascii="宋体" w:hAnsi="宋体" w:eastAsia="仿宋" w:cs="仿宋"/>
                <w:sz w:val="24"/>
                <w:szCs w:val="24"/>
              </w:rPr>
              <w:t>明确了企业应开展安全风险分级管控培训，提高从业人员熟悉掌握安全风险及控制措施。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30</w:t>
            </w:r>
          </w:p>
        </w:tc>
        <w:tc>
          <w:tcPr>
            <w:tcW w:w="1550" w:type="pct"/>
            <w:vAlign w:val="center"/>
          </w:tcPr>
          <w:p>
            <w:pPr>
              <w:spacing w:line="240" w:lineRule="auto"/>
              <w:rPr>
                <w:rFonts w:hint="eastAsia" w:ascii="宋体" w:hAnsi="宋体" w:eastAsia="仿宋" w:cs="仿宋"/>
                <w:sz w:val="24"/>
                <w:szCs w:val="24"/>
              </w:rPr>
            </w:pPr>
            <w:r>
              <w:rPr>
                <w:rFonts w:hint="eastAsia" w:ascii="宋体" w:hAnsi="宋体" w:eastAsia="仿宋" w:cs="仿宋"/>
                <w:sz w:val="24"/>
                <w:szCs w:val="24"/>
              </w:rPr>
              <w:t>5.5.1.4 变更管理</w:t>
            </w:r>
          </w:p>
          <w:p>
            <w:pPr>
              <w:spacing w:line="240" w:lineRule="auto"/>
              <w:rPr>
                <w:rFonts w:hint="eastAsia" w:ascii="宋体" w:hAnsi="宋体" w:eastAsia="仿宋" w:cs="仿宋"/>
                <w:sz w:val="24"/>
                <w:szCs w:val="24"/>
              </w:rPr>
            </w:pPr>
            <w:r>
              <w:rPr>
                <w:rFonts w:hint="eastAsia" w:ascii="宋体" w:hAnsi="宋体" w:eastAsia="仿宋" w:cs="仿宋"/>
                <w:sz w:val="24"/>
                <w:szCs w:val="24"/>
              </w:rPr>
              <w:t>企业应制定变更管理制度。变更前应对变更过程及变更后可能产生的安全风险进行分析，制定控制措施，履行审批及验收程序，并告知和培训相关从业人员。</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7.1 一般要求</w:t>
            </w:r>
          </w:p>
          <w:p>
            <w:pPr>
              <w:snapToGrid w:val="0"/>
              <w:spacing w:line="240" w:lineRule="auto"/>
              <w:rPr>
                <w:rFonts w:hint="eastAsia" w:ascii="宋体" w:hAnsi="宋体" w:eastAsia="仿宋" w:cs="仿宋"/>
                <w:sz w:val="24"/>
              </w:rPr>
            </w:pPr>
            <w:r>
              <w:rPr>
                <w:rFonts w:hint="eastAsia" w:ascii="宋体" w:hAnsi="宋体" w:eastAsia="仿宋" w:cs="仿宋"/>
                <w:sz w:val="24"/>
              </w:rPr>
              <w:t>企业应建立安全风险分级管控的管理要求，明确以下内容：</w:t>
            </w:r>
          </w:p>
          <w:p>
            <w:pPr>
              <w:snapToGrid w:val="0"/>
              <w:spacing w:line="240" w:lineRule="auto"/>
              <w:rPr>
                <w:rFonts w:hint="eastAsia" w:ascii="宋体" w:hAnsi="宋体" w:eastAsia="仿宋" w:cs="仿宋"/>
                <w:sz w:val="24"/>
              </w:rPr>
            </w:pPr>
            <w:r>
              <w:rPr>
                <w:rFonts w:hint="eastAsia" w:ascii="宋体" w:hAnsi="宋体" w:eastAsia="仿宋" w:cs="仿宋"/>
                <w:sz w:val="24"/>
              </w:rPr>
              <w:t>a</w:t>
            </w:r>
            <w:r>
              <w:rPr>
                <w:rFonts w:hint="eastAsia" w:ascii="宋体" w:hAnsi="宋体" w:eastAsia="仿宋" w:cs="仿宋"/>
                <w:sz w:val="24"/>
                <w:shd w:val="clear" w:color="auto" w:fill="FFFFFF"/>
              </w:rPr>
              <w:t>)</w:t>
            </w:r>
            <w:r>
              <w:rPr>
                <w:rFonts w:hint="eastAsia" w:ascii="宋体" w:hAnsi="宋体" w:eastAsia="仿宋" w:cs="仿宋"/>
                <w:sz w:val="24"/>
              </w:rPr>
              <w:t>危险源辨识的范围、人员、流程与频次；</w:t>
            </w:r>
          </w:p>
          <w:p>
            <w:pPr>
              <w:snapToGrid w:val="0"/>
              <w:spacing w:line="240" w:lineRule="auto"/>
              <w:rPr>
                <w:rFonts w:hint="eastAsia" w:ascii="宋体" w:hAnsi="宋体" w:eastAsia="仿宋" w:cs="仿宋"/>
                <w:sz w:val="24"/>
              </w:rPr>
            </w:pPr>
            <w:r>
              <w:rPr>
                <w:rFonts w:hint="eastAsia" w:ascii="宋体" w:hAnsi="宋体" w:eastAsia="仿宋" w:cs="仿宋"/>
                <w:sz w:val="24"/>
              </w:rPr>
              <w:t>7.2 危险源辨识</w:t>
            </w:r>
          </w:p>
          <w:p>
            <w:pPr>
              <w:snapToGrid w:val="0"/>
              <w:spacing w:line="240" w:lineRule="auto"/>
              <w:rPr>
                <w:rFonts w:hint="eastAsia" w:ascii="宋体" w:hAnsi="宋体" w:eastAsia="仿宋" w:cs="仿宋"/>
                <w:sz w:val="24"/>
              </w:rPr>
            </w:pPr>
            <w:r>
              <w:rPr>
                <w:rFonts w:hint="eastAsia" w:ascii="宋体" w:hAnsi="宋体" w:eastAsia="仿宋" w:cs="仿宋"/>
                <w:sz w:val="24"/>
              </w:rPr>
              <w:t>企业应采用适宜的危险源辨识方法和程序，组织从业人员全面辨识生产系统、工艺技术、设备设施、作业环境、作业任务和人员行为等方面存在的危险源。</w:t>
            </w:r>
          </w:p>
          <w:p>
            <w:pPr>
              <w:snapToGrid w:val="0"/>
              <w:spacing w:line="240" w:lineRule="auto"/>
              <w:rPr>
                <w:rFonts w:hint="eastAsia" w:ascii="宋体" w:hAnsi="宋体" w:eastAsia="仿宋" w:cs="仿宋"/>
                <w:sz w:val="24"/>
              </w:rPr>
            </w:pPr>
            <w:r>
              <w:rPr>
                <w:rFonts w:hint="eastAsia" w:ascii="宋体" w:hAnsi="宋体" w:eastAsia="仿宋" w:cs="仿宋"/>
                <w:sz w:val="24"/>
              </w:rPr>
              <w:t>危险源辨识范围应覆盖企业生产经营活动的所有环节及区域，并充分考虑正常、异常和紧急三种状态及过去、现在和将来三种</w:t>
            </w:r>
            <w:r>
              <w:rPr>
                <w:rFonts w:hint="eastAsia" w:ascii="宋体" w:hAnsi="宋体" w:eastAsia="仿宋" w:cs="仿宋"/>
                <w:sz w:val="24"/>
                <w:shd w:val="clear" w:fill="FFFFFF"/>
              </w:rPr>
              <w:t>时态</w:t>
            </w:r>
            <w:r>
              <w:rPr>
                <w:rFonts w:hint="eastAsia" w:ascii="宋体" w:hAnsi="宋体" w:eastAsia="仿宋" w:cs="仿宋"/>
                <w:sz w:val="24"/>
              </w:rPr>
              <w:t>。</w:t>
            </w:r>
          </w:p>
          <w:p>
            <w:pPr>
              <w:snapToGrid w:val="0"/>
              <w:spacing w:line="240" w:lineRule="auto"/>
              <w:rPr>
                <w:rFonts w:hint="eastAsia" w:ascii="宋体" w:hAnsi="宋体" w:eastAsia="仿宋" w:cs="仿宋"/>
                <w:sz w:val="24"/>
              </w:rPr>
            </w:pPr>
            <w:r>
              <w:rPr>
                <w:rFonts w:hint="eastAsia" w:ascii="宋体" w:hAnsi="宋体" w:eastAsia="仿宋" w:cs="仿宋"/>
                <w:sz w:val="24"/>
              </w:rPr>
              <w:t>企业应持续开展危险源辨识，当存在以下情形时及时重新辨识危险源：</w:t>
            </w:r>
          </w:p>
          <w:p>
            <w:pPr>
              <w:snapToGrid w:val="0"/>
              <w:spacing w:line="240" w:lineRule="auto"/>
              <w:rPr>
                <w:rFonts w:hint="eastAsia" w:ascii="宋体" w:hAnsi="宋体" w:eastAsia="仿宋" w:cs="仿宋"/>
                <w:sz w:val="24"/>
              </w:rPr>
            </w:pPr>
            <w:r>
              <w:rPr>
                <w:rFonts w:hint="eastAsia" w:ascii="宋体" w:hAnsi="宋体" w:eastAsia="仿宋" w:cs="仿宋"/>
                <w:sz w:val="24"/>
              </w:rPr>
              <w:t>a</w:t>
            </w:r>
            <w:r>
              <w:rPr>
                <w:rFonts w:hint="eastAsia" w:ascii="宋体" w:hAnsi="宋体" w:eastAsia="仿宋" w:cs="仿宋"/>
                <w:sz w:val="24"/>
                <w:shd w:val="clear" w:color="auto" w:fill="FFFFFF"/>
              </w:rPr>
              <w:t>)</w:t>
            </w:r>
            <w:r>
              <w:rPr>
                <w:rFonts w:hint="eastAsia" w:ascii="宋体" w:hAnsi="宋体" w:eastAsia="仿宋" w:cs="仿宋"/>
                <w:sz w:val="24"/>
              </w:rPr>
              <w:t>生产系统、工艺技术、主要设备设施等发生重大变化时；</w:t>
            </w:r>
          </w:p>
          <w:p>
            <w:pPr>
              <w:snapToGrid w:val="0"/>
              <w:spacing w:line="240" w:lineRule="auto"/>
              <w:rPr>
                <w:rFonts w:hint="eastAsia" w:ascii="宋体" w:hAnsi="宋体" w:eastAsia="仿宋" w:cs="仿宋"/>
                <w:sz w:val="24"/>
              </w:rPr>
            </w:pPr>
            <w:r>
              <w:rPr>
                <w:rFonts w:hint="eastAsia" w:ascii="宋体" w:hAnsi="宋体" w:eastAsia="仿宋" w:cs="仿宋"/>
                <w:sz w:val="24"/>
              </w:rPr>
              <w:t>b</w:t>
            </w:r>
            <w:r>
              <w:rPr>
                <w:rFonts w:hint="eastAsia" w:ascii="宋体" w:hAnsi="宋体" w:eastAsia="仿宋" w:cs="仿宋"/>
                <w:sz w:val="24"/>
                <w:shd w:val="clear" w:color="auto" w:fill="FFFFFF"/>
              </w:rPr>
              <w:t>)</w:t>
            </w:r>
            <w:r>
              <w:rPr>
                <w:rFonts w:hint="eastAsia" w:ascii="宋体" w:hAnsi="宋体" w:eastAsia="仿宋" w:cs="仿宋"/>
                <w:sz w:val="24"/>
              </w:rPr>
              <w:t>新工艺、新技术、新材料、新设备投入使用前；</w:t>
            </w:r>
          </w:p>
          <w:p>
            <w:pPr>
              <w:snapToGrid w:val="0"/>
              <w:spacing w:line="240" w:lineRule="auto"/>
              <w:rPr>
                <w:rFonts w:hint="eastAsia" w:ascii="宋体" w:hAnsi="宋体" w:eastAsia="仿宋" w:cs="仿宋"/>
                <w:sz w:val="24"/>
              </w:rPr>
            </w:pPr>
            <w:r>
              <w:rPr>
                <w:rFonts w:hint="eastAsia" w:ascii="宋体" w:hAnsi="宋体" w:eastAsia="仿宋" w:cs="仿宋"/>
                <w:sz w:val="24"/>
              </w:rPr>
              <w:t>c</w:t>
            </w:r>
            <w:r>
              <w:rPr>
                <w:rFonts w:hint="eastAsia" w:ascii="宋体" w:hAnsi="宋体" w:eastAsia="仿宋" w:cs="仿宋"/>
                <w:sz w:val="24"/>
                <w:shd w:val="clear" w:color="auto" w:fill="FFFFFF"/>
              </w:rPr>
              <w:t>)</w:t>
            </w:r>
            <w:r>
              <w:rPr>
                <w:rFonts w:hint="eastAsia" w:ascii="宋体" w:hAnsi="宋体" w:eastAsia="仿宋" w:cs="仿宋"/>
                <w:sz w:val="24"/>
              </w:rPr>
              <w:t>发</w:t>
            </w:r>
            <w:r>
              <w:rPr>
                <w:rFonts w:hint="eastAsia" w:ascii="宋体" w:hAnsi="宋体" w:eastAsia="仿宋" w:cs="仿宋"/>
                <w:sz w:val="24"/>
                <w:shd w:val="clear" w:fill="FFFFFF"/>
              </w:rPr>
              <w:t>生</w:t>
            </w:r>
            <w:r>
              <w:rPr>
                <w:rFonts w:hint="eastAsia" w:ascii="宋体" w:hAnsi="宋体" w:eastAsia="仿宋" w:cs="仿宋"/>
                <w:sz w:val="24"/>
              </w:rPr>
              <w:t>生产安全事故后；</w:t>
            </w:r>
          </w:p>
          <w:p>
            <w:pPr>
              <w:snapToGrid w:val="0"/>
              <w:spacing w:line="240" w:lineRule="auto"/>
              <w:rPr>
                <w:rFonts w:hint="eastAsia" w:ascii="宋体" w:hAnsi="宋体" w:eastAsia="仿宋" w:cs="仿宋"/>
                <w:sz w:val="24"/>
              </w:rPr>
            </w:pPr>
            <w:r>
              <w:rPr>
                <w:rFonts w:hint="eastAsia" w:ascii="宋体" w:hAnsi="宋体" w:eastAsia="仿宋" w:cs="仿宋"/>
                <w:sz w:val="24"/>
              </w:rPr>
              <w:t>d</w:t>
            </w:r>
            <w:r>
              <w:rPr>
                <w:rFonts w:hint="eastAsia" w:ascii="宋体" w:hAnsi="宋体" w:eastAsia="仿宋" w:cs="仿宋"/>
                <w:sz w:val="24"/>
                <w:shd w:val="clear" w:color="auto" w:fill="FFFFFF"/>
              </w:rPr>
              <w:t>)</w:t>
            </w:r>
            <w:r>
              <w:rPr>
                <w:rFonts w:hint="eastAsia" w:ascii="宋体" w:hAnsi="宋体" w:eastAsia="仿宋" w:cs="仿宋"/>
                <w:sz w:val="24"/>
              </w:rPr>
              <w:t>其他可能对安全生产造成重大影响的。</w:t>
            </w:r>
          </w:p>
        </w:tc>
        <w:tc>
          <w:tcPr>
            <w:tcW w:w="1657" w:type="pct"/>
            <w:vAlign w:val="center"/>
          </w:tcPr>
          <w:p>
            <w:pPr>
              <w:spacing w:line="240" w:lineRule="auto"/>
              <w:rPr>
                <w:rFonts w:hint="eastAsia" w:ascii="宋体" w:hAnsi="宋体" w:eastAsia="仿宋" w:cs="仿宋"/>
                <w:sz w:val="24"/>
                <w:szCs w:val="24"/>
              </w:rPr>
            </w:pPr>
            <w:r>
              <w:rPr>
                <w:rFonts w:hint="eastAsia" w:ascii="宋体" w:hAnsi="宋体" w:eastAsia="仿宋" w:cs="仿宋"/>
                <w:sz w:val="24"/>
                <w:szCs w:val="24"/>
              </w:rPr>
              <w:t>根据新框架，调整了制度建立要求的位置，融入“一般要求”建立安全风险分级管控管理要求，根据《HSE管理体系 第1部分：规范》（Q/SY 08002.1-2022）明确了变更危险源辨识的条件，弱化了变更危险源便是结果变更后将纳入后续风险评估及控制阶段。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31</w:t>
            </w:r>
          </w:p>
        </w:tc>
        <w:tc>
          <w:tcPr>
            <w:tcW w:w="1550" w:type="pct"/>
            <w:vAlign w:val="center"/>
          </w:tcPr>
          <w:p>
            <w:pPr>
              <w:spacing w:line="240" w:lineRule="auto"/>
              <w:rPr>
                <w:rFonts w:hint="eastAsia" w:ascii="宋体" w:hAnsi="宋体" w:eastAsia="仿宋" w:cs="仿宋"/>
                <w:sz w:val="24"/>
                <w:szCs w:val="24"/>
              </w:rPr>
            </w:pPr>
            <w:r>
              <w:rPr>
                <w:rFonts w:hint="eastAsia" w:ascii="宋体" w:hAnsi="宋体" w:eastAsia="仿宋" w:cs="仿宋"/>
                <w:sz w:val="24"/>
                <w:szCs w:val="24"/>
              </w:rPr>
              <w:t>5.5.2 重大危险源辨识与管理</w:t>
            </w:r>
          </w:p>
          <w:p>
            <w:pPr>
              <w:spacing w:line="240" w:lineRule="auto"/>
              <w:rPr>
                <w:rFonts w:hint="eastAsia" w:ascii="宋体" w:hAnsi="宋体" w:eastAsia="仿宋" w:cs="仿宋"/>
                <w:sz w:val="24"/>
                <w:szCs w:val="24"/>
              </w:rPr>
            </w:pPr>
            <w:r>
              <w:rPr>
                <w:rFonts w:hint="eastAsia" w:ascii="宋体" w:hAnsi="宋体" w:eastAsia="仿宋" w:cs="仿宋"/>
                <w:sz w:val="24"/>
                <w:szCs w:val="24"/>
              </w:rPr>
              <w:t>企业应建立重大危险源管理制度，全面辨识重大危险源，对确认的重大危险源制定安全管理技术措施和应急预案。</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7.1 一般要求</w:t>
            </w:r>
          </w:p>
          <w:p>
            <w:pPr>
              <w:snapToGrid w:val="0"/>
              <w:spacing w:line="240" w:lineRule="auto"/>
              <w:rPr>
                <w:rFonts w:hint="eastAsia" w:ascii="宋体" w:hAnsi="宋体" w:eastAsia="仿宋" w:cs="仿宋"/>
                <w:sz w:val="24"/>
              </w:rPr>
            </w:pPr>
            <w:r>
              <w:rPr>
                <w:rFonts w:hint="eastAsia" w:ascii="宋体" w:hAnsi="宋体" w:eastAsia="仿宋" w:cs="仿宋"/>
                <w:sz w:val="24"/>
              </w:rPr>
              <w:t>应明确重大危险源的安全管理要求，对重大危险源进行登记建档、定期检测、评估、监控，并制定应急预案，告知从业人员和相关人员在紧急情况下应当采取的应急措施。</w:t>
            </w:r>
          </w:p>
        </w:tc>
        <w:tc>
          <w:tcPr>
            <w:tcW w:w="1657" w:type="pct"/>
            <w:vAlign w:val="center"/>
          </w:tcPr>
          <w:p>
            <w:pPr>
              <w:spacing w:line="240" w:lineRule="auto"/>
              <w:rPr>
                <w:rFonts w:hint="eastAsia" w:ascii="宋体" w:hAnsi="宋体" w:eastAsia="仿宋" w:cs="仿宋"/>
                <w:sz w:val="24"/>
                <w:szCs w:val="24"/>
              </w:rPr>
            </w:pPr>
            <w:r>
              <w:rPr>
                <w:rFonts w:hint="eastAsia" w:ascii="宋体" w:hAnsi="宋体" w:eastAsia="仿宋" w:cs="仿宋"/>
                <w:sz w:val="24"/>
                <w:szCs w:val="24"/>
              </w:rPr>
              <w:t>调整保留了相关要求。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32</w:t>
            </w:r>
          </w:p>
        </w:tc>
        <w:tc>
          <w:tcPr>
            <w:tcW w:w="1550" w:type="pct"/>
            <w:vAlign w:val="center"/>
          </w:tcPr>
          <w:p>
            <w:pPr>
              <w:spacing w:line="240" w:lineRule="auto"/>
              <w:rPr>
                <w:rFonts w:hint="eastAsia" w:ascii="宋体" w:hAnsi="宋体" w:eastAsia="仿宋" w:cs="仿宋"/>
                <w:sz w:val="24"/>
                <w:szCs w:val="24"/>
              </w:rPr>
            </w:pPr>
            <w:r>
              <w:rPr>
                <w:rFonts w:hint="eastAsia" w:ascii="宋体" w:hAnsi="宋体" w:eastAsia="仿宋" w:cs="仿宋"/>
                <w:sz w:val="24"/>
                <w:szCs w:val="24"/>
              </w:rPr>
              <w:t>5.5.2 重大危险源辨识与管理</w:t>
            </w:r>
          </w:p>
          <w:p>
            <w:pPr>
              <w:spacing w:line="240" w:lineRule="auto"/>
              <w:rPr>
                <w:rFonts w:hint="eastAsia" w:ascii="宋体" w:hAnsi="宋体" w:eastAsia="仿宋" w:cs="仿宋"/>
                <w:sz w:val="24"/>
                <w:szCs w:val="24"/>
              </w:rPr>
            </w:pPr>
            <w:r>
              <w:rPr>
                <w:rFonts w:hint="eastAsia" w:ascii="宋体" w:hAnsi="宋体" w:eastAsia="仿宋" w:cs="仿宋"/>
                <w:sz w:val="24"/>
                <w:szCs w:val="24"/>
              </w:rPr>
              <w:t>涉及危险化学品的企业应按照GB 18218的规定，进行重大危险源辨识和管理。</w:t>
            </w:r>
          </w:p>
        </w:tc>
        <w:tc>
          <w:tcPr>
            <w:tcW w:w="1535" w:type="pct"/>
            <w:vAlign w:val="center"/>
          </w:tcPr>
          <w:p>
            <w:pPr>
              <w:spacing w:line="240" w:lineRule="auto"/>
              <w:rPr>
                <w:rFonts w:hint="eastAsia" w:ascii="宋体" w:hAnsi="宋体" w:eastAsia="仿宋" w:cs="仿宋"/>
                <w:sz w:val="24"/>
                <w:szCs w:val="24"/>
              </w:rPr>
            </w:pPr>
            <w:r>
              <w:rPr>
                <w:rFonts w:hint="eastAsia" w:ascii="宋体" w:hAnsi="宋体" w:eastAsia="仿宋" w:cs="仿宋"/>
                <w:sz w:val="24"/>
                <w:szCs w:val="24"/>
              </w:rPr>
              <w:t>--</w:t>
            </w:r>
          </w:p>
        </w:tc>
        <w:tc>
          <w:tcPr>
            <w:tcW w:w="1657" w:type="pct"/>
            <w:vAlign w:val="center"/>
          </w:tcPr>
          <w:p>
            <w:pPr>
              <w:spacing w:line="240" w:lineRule="auto"/>
              <w:rPr>
                <w:rFonts w:hint="eastAsia" w:ascii="宋体" w:hAnsi="宋体" w:eastAsia="仿宋" w:cs="仿宋"/>
                <w:sz w:val="24"/>
                <w:szCs w:val="24"/>
              </w:rPr>
            </w:pPr>
            <w:r>
              <w:rPr>
                <w:rFonts w:hint="eastAsia" w:ascii="宋体" w:hAnsi="宋体" w:eastAsia="仿宋" w:cs="仿宋"/>
                <w:sz w:val="24"/>
                <w:szCs w:val="24"/>
              </w:rPr>
              <w:t>删除了重大危险源判定依据条款。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33</w:t>
            </w:r>
          </w:p>
        </w:tc>
        <w:tc>
          <w:tcPr>
            <w:tcW w:w="1550" w:type="pct"/>
            <w:vAlign w:val="center"/>
          </w:tcPr>
          <w:p>
            <w:pPr>
              <w:spacing w:line="240" w:lineRule="auto"/>
              <w:rPr>
                <w:rFonts w:hint="eastAsia" w:ascii="宋体" w:hAnsi="宋体" w:eastAsia="仿宋" w:cs="仿宋"/>
                <w:sz w:val="24"/>
                <w:szCs w:val="24"/>
              </w:rPr>
            </w:pPr>
            <w:r>
              <w:rPr>
                <w:rFonts w:hint="eastAsia" w:ascii="宋体" w:hAnsi="宋体" w:eastAsia="仿宋" w:cs="仿宋"/>
                <w:sz w:val="24"/>
                <w:szCs w:val="24"/>
              </w:rPr>
              <w:t>5.5.2 重大危险源辨识与管理</w:t>
            </w:r>
          </w:p>
          <w:p>
            <w:pPr>
              <w:spacing w:line="240" w:lineRule="auto"/>
              <w:rPr>
                <w:rFonts w:hint="eastAsia" w:ascii="宋体" w:hAnsi="宋体" w:eastAsia="仿宋" w:cs="仿宋"/>
                <w:sz w:val="24"/>
                <w:szCs w:val="24"/>
              </w:rPr>
            </w:pPr>
            <w:r>
              <w:rPr>
                <w:rFonts w:hint="eastAsia" w:ascii="宋体" w:hAnsi="宋体" w:eastAsia="仿宋" w:cs="仿宋"/>
                <w:sz w:val="24"/>
                <w:szCs w:val="24"/>
              </w:rPr>
              <w:t>企业应对重大危险源进行登记建档，设置重大危险源监控系统，进行日常监控，并按照有关规定向所在地安全监管部门备案。重大危险源安全监控系统应符合AQ 3035的技术规定。</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7.1 一般要求</w:t>
            </w:r>
          </w:p>
          <w:p>
            <w:pPr>
              <w:snapToGrid w:val="0"/>
              <w:spacing w:line="240" w:lineRule="auto"/>
              <w:rPr>
                <w:rFonts w:hint="eastAsia" w:ascii="宋体" w:hAnsi="宋体" w:eastAsia="仿宋" w:cs="仿宋"/>
                <w:sz w:val="24"/>
              </w:rPr>
            </w:pPr>
            <w:r>
              <w:rPr>
                <w:rFonts w:hint="eastAsia" w:ascii="宋体" w:hAnsi="宋体" w:eastAsia="仿宋" w:cs="仿宋"/>
                <w:sz w:val="24"/>
              </w:rPr>
              <w:t>应明确重大危险源的安全管理要求，对重大危险源进行登记建档、定期检测、评估、监控，并制定应急预案，告知从业人员和相关人员在紧急情况下应当采取的应急措施。</w:t>
            </w:r>
          </w:p>
        </w:tc>
        <w:tc>
          <w:tcPr>
            <w:tcW w:w="1657" w:type="pct"/>
            <w:vAlign w:val="center"/>
          </w:tcPr>
          <w:p>
            <w:pPr>
              <w:spacing w:line="240" w:lineRule="auto"/>
              <w:rPr>
                <w:rFonts w:hint="eastAsia" w:ascii="宋体" w:hAnsi="宋体" w:eastAsia="仿宋" w:cs="仿宋"/>
                <w:sz w:val="24"/>
                <w:szCs w:val="24"/>
              </w:rPr>
            </w:pPr>
            <w:r>
              <w:rPr>
                <w:rFonts w:hint="eastAsia" w:ascii="宋体" w:hAnsi="宋体" w:eastAsia="仿宋" w:cs="仿宋"/>
                <w:sz w:val="24"/>
                <w:szCs w:val="24"/>
              </w:rPr>
              <w:t>调整保留了重大危险源管理及监控要求。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34</w:t>
            </w:r>
          </w:p>
        </w:tc>
        <w:tc>
          <w:tcPr>
            <w:tcW w:w="1550" w:type="pct"/>
            <w:vAlign w:val="center"/>
          </w:tcPr>
          <w:p>
            <w:pPr>
              <w:spacing w:line="240" w:lineRule="auto"/>
              <w:rPr>
                <w:rFonts w:hint="eastAsia" w:ascii="宋体" w:hAnsi="宋体" w:eastAsia="仿宋" w:cs="仿宋"/>
                <w:sz w:val="24"/>
                <w:szCs w:val="24"/>
              </w:rPr>
            </w:pPr>
            <w:r>
              <w:rPr>
                <w:rFonts w:hint="eastAsia" w:ascii="宋体" w:hAnsi="宋体" w:eastAsia="仿宋" w:cs="仿宋"/>
                <w:sz w:val="24"/>
                <w:szCs w:val="24"/>
              </w:rPr>
              <w:t>5.5.2 重大危险源辨识与管理</w:t>
            </w:r>
          </w:p>
          <w:p>
            <w:pPr>
              <w:spacing w:line="240" w:lineRule="auto"/>
              <w:rPr>
                <w:rFonts w:hint="eastAsia" w:ascii="宋体" w:hAnsi="宋体" w:eastAsia="仿宋" w:cs="仿宋"/>
                <w:sz w:val="24"/>
                <w:szCs w:val="24"/>
              </w:rPr>
            </w:pPr>
            <w:r>
              <w:rPr>
                <w:rFonts w:hint="eastAsia" w:ascii="宋体" w:hAnsi="宋体" w:eastAsia="仿宋" w:cs="仿宋"/>
                <w:sz w:val="24"/>
                <w:szCs w:val="24"/>
              </w:rPr>
              <w:t>含有重大危险源的企业应将监控中心（室）视频监控数据、安全监控系统状态数据和监测数据与有关安全监管部门监管系统联网。</w:t>
            </w:r>
          </w:p>
        </w:tc>
        <w:tc>
          <w:tcPr>
            <w:tcW w:w="1535" w:type="pct"/>
            <w:vAlign w:val="center"/>
          </w:tcPr>
          <w:p>
            <w:pPr>
              <w:spacing w:line="240" w:lineRule="auto"/>
              <w:rPr>
                <w:rFonts w:hint="eastAsia" w:ascii="宋体" w:hAnsi="宋体" w:eastAsia="仿宋" w:cs="仿宋"/>
                <w:sz w:val="24"/>
                <w:szCs w:val="24"/>
              </w:rPr>
            </w:pPr>
            <w:r>
              <w:rPr>
                <w:rFonts w:hint="eastAsia" w:ascii="宋体" w:hAnsi="宋体" w:eastAsia="仿宋" w:cs="仿宋"/>
                <w:sz w:val="24"/>
                <w:szCs w:val="24"/>
              </w:rPr>
              <w:t>--</w:t>
            </w:r>
          </w:p>
        </w:tc>
        <w:tc>
          <w:tcPr>
            <w:tcW w:w="1657" w:type="pct"/>
            <w:vAlign w:val="center"/>
          </w:tcPr>
          <w:p>
            <w:pPr>
              <w:spacing w:line="240" w:lineRule="auto"/>
              <w:rPr>
                <w:rFonts w:hint="eastAsia" w:ascii="宋体" w:hAnsi="宋体" w:eastAsia="仿宋" w:cs="仿宋"/>
                <w:sz w:val="24"/>
                <w:szCs w:val="24"/>
              </w:rPr>
            </w:pPr>
            <w:r>
              <w:rPr>
                <w:rFonts w:hint="eastAsia" w:ascii="宋体" w:hAnsi="宋体" w:eastAsia="仿宋" w:cs="仿宋"/>
                <w:sz w:val="24"/>
                <w:szCs w:val="24"/>
              </w:rPr>
              <w:t>删除了重大危险源监控中心及监控数据的要求。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35</w:t>
            </w:r>
          </w:p>
        </w:tc>
        <w:tc>
          <w:tcPr>
            <w:tcW w:w="1550" w:type="pct"/>
            <w:vAlign w:val="center"/>
          </w:tcPr>
          <w:p>
            <w:pPr>
              <w:spacing w:line="240" w:lineRule="auto"/>
              <w:rPr>
                <w:rFonts w:hint="eastAsia" w:ascii="宋体" w:hAnsi="宋体" w:eastAsia="仿宋" w:cs="仿宋"/>
                <w:sz w:val="24"/>
                <w:szCs w:val="24"/>
              </w:rPr>
            </w:pPr>
            <w:r>
              <w:rPr>
                <w:rFonts w:hint="eastAsia" w:ascii="宋体" w:hAnsi="宋体" w:eastAsia="仿宋" w:cs="仿宋"/>
                <w:sz w:val="24"/>
                <w:szCs w:val="24"/>
              </w:rPr>
              <w:t>5.5.4 预测预警</w:t>
            </w:r>
          </w:p>
          <w:p>
            <w:pPr>
              <w:spacing w:line="240" w:lineRule="auto"/>
              <w:rPr>
                <w:rFonts w:hint="eastAsia" w:ascii="宋体" w:hAnsi="宋体" w:eastAsia="仿宋" w:cs="仿宋"/>
                <w:sz w:val="24"/>
                <w:szCs w:val="24"/>
              </w:rPr>
            </w:pPr>
            <w:r>
              <w:rPr>
                <w:rFonts w:hint="eastAsia" w:ascii="宋体" w:hAnsi="宋体" w:eastAsia="仿宋" w:cs="仿宋"/>
                <w:sz w:val="24"/>
                <w:szCs w:val="24"/>
              </w:rPr>
              <w:t>企业应根据生产经营状况、安全风险管理及隐患排查治理、事故等情况，运用定量或定性的安全生产预测预警技术，建立体现企业安全生产状况及发展趋势的安全生产预测预警体系。</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7.4.3 监测预警</w:t>
            </w:r>
          </w:p>
          <w:p>
            <w:pPr>
              <w:snapToGrid w:val="0"/>
              <w:spacing w:line="240" w:lineRule="auto"/>
              <w:rPr>
                <w:rFonts w:hint="eastAsia" w:ascii="宋体" w:hAnsi="宋体" w:eastAsia="仿宋" w:cs="仿宋"/>
                <w:sz w:val="24"/>
              </w:rPr>
            </w:pPr>
            <w:r>
              <w:rPr>
                <w:rFonts w:hint="eastAsia" w:ascii="宋体" w:hAnsi="宋体" w:eastAsia="仿宋" w:cs="仿宋"/>
                <w:sz w:val="24"/>
              </w:rPr>
              <w:t>企业应采用多种手段进行安全风险监测，发生异常时及时预警并处置。</w:t>
            </w:r>
          </w:p>
          <w:p>
            <w:pPr>
              <w:snapToGrid w:val="0"/>
              <w:spacing w:line="240" w:lineRule="auto"/>
              <w:rPr>
                <w:rFonts w:hint="eastAsia" w:ascii="宋体" w:hAnsi="宋体" w:eastAsia="仿宋" w:cs="仿宋"/>
                <w:sz w:val="24"/>
              </w:rPr>
            </w:pPr>
            <w:r>
              <w:rPr>
                <w:rFonts w:hint="eastAsia" w:ascii="宋体" w:hAnsi="宋体" w:eastAsia="仿宋" w:cs="仿宋"/>
                <w:sz w:val="24"/>
              </w:rPr>
              <w:t>宜采用信息化、智能化等手段，提高安全风险监测、预警、处置效能。</w:t>
            </w:r>
          </w:p>
        </w:tc>
        <w:tc>
          <w:tcPr>
            <w:tcW w:w="1657" w:type="pct"/>
            <w:vAlign w:val="center"/>
          </w:tcPr>
          <w:p>
            <w:pPr>
              <w:spacing w:line="240" w:lineRule="auto"/>
              <w:rPr>
                <w:rFonts w:hint="eastAsia" w:ascii="宋体" w:hAnsi="宋体" w:eastAsia="仿宋" w:cs="仿宋"/>
                <w:sz w:val="24"/>
                <w:szCs w:val="24"/>
                <w:lang w:eastAsia="zh-CN"/>
              </w:rPr>
            </w:pPr>
            <w:r>
              <w:rPr>
                <w:rFonts w:hint="eastAsia" w:ascii="宋体" w:hAnsi="宋体" w:eastAsia="仿宋" w:cs="仿宋"/>
                <w:sz w:val="24"/>
                <w:szCs w:val="24"/>
              </w:rPr>
              <w:t>调整保留了安全风险的</w:t>
            </w:r>
            <w:r>
              <w:rPr>
                <w:rFonts w:hint="eastAsia" w:ascii="宋体" w:hAnsi="宋体" w:eastAsia="仿宋" w:cs="仿宋"/>
                <w:sz w:val="24"/>
                <w:szCs w:val="24"/>
                <w:shd w:val="clear" w:fill="FFFFFF"/>
              </w:rPr>
              <w:t>监测</w:t>
            </w:r>
            <w:r>
              <w:rPr>
                <w:rFonts w:hint="eastAsia" w:ascii="宋体" w:hAnsi="宋体" w:eastAsia="仿宋" w:cs="仿宋"/>
                <w:sz w:val="24"/>
                <w:szCs w:val="24"/>
              </w:rPr>
              <w:t>预警相关要求，弱化了安全风险分级管控、事故隐患排查及事故的预测发展分析等要求</w:t>
            </w:r>
            <w:r>
              <w:rPr>
                <w:rFonts w:hint="eastAsia" w:ascii="宋体" w:hAnsi="宋体" w:eastAsia="仿宋" w:cs="仿宋"/>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36</w:t>
            </w:r>
          </w:p>
        </w:tc>
        <w:tc>
          <w:tcPr>
            <w:tcW w:w="1550" w:type="pct"/>
            <w:vAlign w:val="center"/>
          </w:tcPr>
          <w:p>
            <w:pPr>
              <w:spacing w:line="240" w:lineRule="auto"/>
              <w:rPr>
                <w:rFonts w:hint="eastAsia" w:ascii="宋体" w:hAnsi="宋体" w:eastAsia="仿宋" w:cs="仿宋"/>
                <w:sz w:val="24"/>
                <w:szCs w:val="24"/>
              </w:rPr>
            </w:pPr>
            <w:r>
              <w:rPr>
                <w:rFonts w:hint="eastAsia" w:ascii="宋体" w:hAnsi="宋体" w:eastAsia="仿宋" w:cs="仿宋"/>
                <w:sz w:val="24"/>
                <w:szCs w:val="24"/>
              </w:rPr>
              <w:t>--</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7.4.1 控制措施</w:t>
            </w:r>
          </w:p>
          <w:p>
            <w:pPr>
              <w:snapToGrid w:val="0"/>
              <w:spacing w:line="240" w:lineRule="auto"/>
              <w:rPr>
                <w:rFonts w:hint="eastAsia" w:ascii="宋体" w:hAnsi="宋体" w:eastAsia="仿宋" w:cs="仿宋"/>
                <w:sz w:val="24"/>
              </w:rPr>
            </w:pPr>
            <w:r>
              <w:rPr>
                <w:rFonts w:hint="eastAsia" w:ascii="宋体" w:hAnsi="宋体" w:eastAsia="仿宋" w:cs="仿宋"/>
                <w:sz w:val="24"/>
              </w:rPr>
              <w:t>企业应针对不同等级的安全风险，实施差异化的动态管理。</w:t>
            </w:r>
          </w:p>
          <w:p>
            <w:pPr>
              <w:snapToGrid w:val="0"/>
              <w:spacing w:line="240" w:lineRule="auto"/>
              <w:rPr>
                <w:rFonts w:hint="eastAsia" w:ascii="宋体" w:hAnsi="宋体" w:eastAsia="仿宋" w:cs="仿宋"/>
                <w:sz w:val="24"/>
              </w:rPr>
            </w:pPr>
            <w:r>
              <w:rPr>
                <w:rFonts w:hint="eastAsia" w:ascii="宋体" w:hAnsi="宋体" w:eastAsia="仿宋" w:cs="仿宋"/>
                <w:sz w:val="24"/>
              </w:rPr>
              <w:t>应按消除、替代、降低、隔离、管理控制、个人防护的优先顺序，确定适宜的风险控制措施，并跟踪风险控制措施落实情况，确保其有效性。</w:t>
            </w:r>
          </w:p>
          <w:p>
            <w:pPr>
              <w:snapToGrid w:val="0"/>
              <w:spacing w:line="240" w:lineRule="auto"/>
              <w:rPr>
                <w:rFonts w:hint="eastAsia" w:ascii="宋体" w:hAnsi="宋体" w:eastAsia="仿宋" w:cs="仿宋"/>
                <w:sz w:val="24"/>
              </w:rPr>
            </w:pPr>
            <w:r>
              <w:rPr>
                <w:rFonts w:hint="eastAsia" w:ascii="宋体" w:hAnsi="宋体" w:eastAsia="仿宋" w:cs="仿宋"/>
                <w:sz w:val="24"/>
              </w:rPr>
              <w:t>风险控制措施应纳入规章制度、操作规程、应急预案等文件。</w:t>
            </w:r>
          </w:p>
        </w:tc>
        <w:tc>
          <w:tcPr>
            <w:tcW w:w="1657" w:type="pct"/>
            <w:vAlign w:val="center"/>
          </w:tcPr>
          <w:p>
            <w:pPr>
              <w:spacing w:line="240" w:lineRule="auto"/>
              <w:rPr>
                <w:rFonts w:hint="eastAsia" w:ascii="宋体" w:hAnsi="宋体" w:eastAsia="仿宋" w:cs="仿宋"/>
                <w:sz w:val="24"/>
                <w:szCs w:val="24"/>
              </w:rPr>
            </w:pPr>
            <w:r>
              <w:rPr>
                <w:rFonts w:hint="eastAsia" w:ascii="宋体" w:hAnsi="宋体" w:eastAsia="仿宋" w:cs="仿宋"/>
                <w:sz w:val="24"/>
                <w:szCs w:val="24"/>
              </w:rPr>
              <w:t>增加了风险控制措施文件化管理要求。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37</w:t>
            </w:r>
          </w:p>
        </w:tc>
        <w:tc>
          <w:tcPr>
            <w:tcW w:w="1550" w:type="pct"/>
            <w:vAlign w:val="center"/>
          </w:tcPr>
          <w:p>
            <w:pPr>
              <w:spacing w:line="240" w:lineRule="auto"/>
              <w:rPr>
                <w:rFonts w:hint="eastAsia" w:ascii="宋体" w:hAnsi="宋体" w:eastAsia="仿宋" w:cs="仿宋"/>
                <w:sz w:val="24"/>
                <w:szCs w:val="24"/>
              </w:rPr>
            </w:pPr>
            <w:r>
              <w:rPr>
                <w:rFonts w:hint="eastAsia" w:ascii="宋体" w:hAnsi="宋体" w:eastAsia="仿宋" w:cs="仿宋"/>
                <w:sz w:val="24"/>
                <w:szCs w:val="24"/>
              </w:rPr>
              <w:t>--</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7.4.2 风险告知</w:t>
            </w:r>
          </w:p>
          <w:p>
            <w:pPr>
              <w:snapToGrid w:val="0"/>
              <w:spacing w:line="240" w:lineRule="auto"/>
              <w:rPr>
                <w:rFonts w:hint="eastAsia" w:ascii="宋体" w:hAnsi="宋体" w:eastAsia="仿宋" w:cs="仿宋"/>
                <w:sz w:val="24"/>
              </w:rPr>
            </w:pPr>
            <w:r>
              <w:rPr>
                <w:rFonts w:hint="eastAsia" w:ascii="宋体" w:hAnsi="宋体" w:eastAsia="仿宋" w:cs="仿宋"/>
                <w:sz w:val="24"/>
              </w:rPr>
              <w:t>企业应通过适宜的方式对进入生产作业场所的人员进行安全风险告知，告知内容应包括风险后果、管控措施、报告方式等。</w:t>
            </w:r>
          </w:p>
          <w:p>
            <w:pPr>
              <w:snapToGrid w:val="0"/>
              <w:spacing w:line="240" w:lineRule="auto"/>
              <w:rPr>
                <w:rFonts w:hint="eastAsia" w:ascii="宋体" w:hAnsi="宋体" w:eastAsia="仿宋" w:cs="仿宋"/>
                <w:sz w:val="24"/>
              </w:rPr>
            </w:pPr>
            <w:r>
              <w:rPr>
                <w:rFonts w:hint="eastAsia" w:ascii="宋体" w:hAnsi="宋体" w:eastAsia="仿宋" w:cs="仿宋"/>
                <w:sz w:val="24"/>
              </w:rPr>
              <w:t>应在适当的位置对重大安全风险进行公告，公告内容包括风险描述、管控措施、应急措施、责任人员等。</w:t>
            </w:r>
          </w:p>
          <w:p>
            <w:pPr>
              <w:snapToGrid w:val="0"/>
              <w:spacing w:line="240" w:lineRule="auto"/>
              <w:rPr>
                <w:rFonts w:hint="eastAsia" w:ascii="宋体" w:hAnsi="宋体" w:eastAsia="仿宋" w:cs="仿宋"/>
                <w:sz w:val="24"/>
              </w:rPr>
            </w:pPr>
            <w:r>
              <w:rPr>
                <w:rFonts w:hint="eastAsia" w:ascii="宋体" w:hAnsi="宋体" w:eastAsia="仿宋" w:cs="仿宋"/>
                <w:sz w:val="24"/>
              </w:rPr>
              <w:t>应按规定向政府有关部门报送重大安全风险清单及其管控措施。</w:t>
            </w:r>
          </w:p>
        </w:tc>
        <w:tc>
          <w:tcPr>
            <w:tcW w:w="1657" w:type="pct"/>
            <w:vAlign w:val="center"/>
          </w:tcPr>
          <w:p>
            <w:pPr>
              <w:widowControl/>
              <w:spacing w:line="240" w:lineRule="auto"/>
              <w:jc w:val="left"/>
              <w:rPr>
                <w:rFonts w:hint="eastAsia" w:ascii="宋体" w:hAnsi="宋体" w:eastAsia="仿宋" w:cs="仿宋"/>
                <w:sz w:val="24"/>
                <w:szCs w:val="24"/>
              </w:rPr>
            </w:pPr>
            <w:r>
              <w:rPr>
                <w:rFonts w:hint="eastAsia" w:ascii="宋体" w:hAnsi="宋体" w:eastAsia="仿宋" w:cs="仿宋"/>
                <w:sz w:val="24"/>
                <w:szCs w:val="24"/>
              </w:rPr>
              <w:t>根据《国务院安委会办公室关于实施遏制重特大事故工作指南构建双重预防机制的意见》增加了重大安全风险公告要求，明确了公告内容，根据《江苏省工业企业安全生产风险报告规定》，增加了企业向政府报送重大安全风险清单及其管控措施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38</w:t>
            </w:r>
          </w:p>
        </w:tc>
        <w:tc>
          <w:tcPr>
            <w:tcW w:w="1550" w:type="pct"/>
            <w:vAlign w:val="center"/>
          </w:tcPr>
          <w:p>
            <w:pPr>
              <w:spacing w:line="240" w:lineRule="auto"/>
              <w:rPr>
                <w:rFonts w:hint="eastAsia" w:ascii="宋体" w:hAnsi="宋体" w:eastAsia="仿宋" w:cs="仿宋"/>
                <w:sz w:val="24"/>
                <w:szCs w:val="24"/>
              </w:rPr>
            </w:pPr>
            <w:r>
              <w:rPr>
                <w:rFonts w:hint="eastAsia" w:ascii="宋体" w:hAnsi="宋体" w:eastAsia="仿宋" w:cs="仿宋"/>
                <w:sz w:val="24"/>
                <w:szCs w:val="24"/>
              </w:rPr>
              <w:t>--</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7.4.4 效果评价</w:t>
            </w:r>
          </w:p>
          <w:p>
            <w:pPr>
              <w:snapToGrid w:val="0"/>
              <w:spacing w:line="240" w:lineRule="auto"/>
              <w:rPr>
                <w:rFonts w:hint="eastAsia" w:ascii="宋体" w:hAnsi="宋体" w:eastAsia="仿宋" w:cs="仿宋"/>
                <w:sz w:val="24"/>
              </w:rPr>
            </w:pPr>
            <w:r>
              <w:rPr>
                <w:rFonts w:hint="eastAsia" w:ascii="宋体" w:hAnsi="宋体" w:eastAsia="仿宋" w:cs="仿宋"/>
                <w:sz w:val="24"/>
              </w:rPr>
              <w:t>企业应定期对安全风险分级管控效果进行评价。</w:t>
            </w:r>
          </w:p>
          <w:p>
            <w:pPr>
              <w:snapToGrid w:val="0"/>
              <w:spacing w:line="240" w:lineRule="auto"/>
              <w:rPr>
                <w:rFonts w:hint="eastAsia" w:ascii="宋体" w:hAnsi="宋体" w:eastAsia="仿宋" w:cs="仿宋"/>
                <w:sz w:val="24"/>
              </w:rPr>
            </w:pPr>
            <w:r>
              <w:rPr>
                <w:rFonts w:hint="eastAsia" w:ascii="宋体" w:hAnsi="宋体" w:eastAsia="仿宋" w:cs="仿宋"/>
                <w:sz w:val="24"/>
              </w:rPr>
              <w:t>当发现风险管控失效或不能满足要求时，应及时分析原因并完善相关风险管控措施；构成隐患的，应纳入隐患排查治理。</w:t>
            </w:r>
          </w:p>
        </w:tc>
        <w:tc>
          <w:tcPr>
            <w:tcW w:w="1657" w:type="pct"/>
            <w:vAlign w:val="center"/>
          </w:tcPr>
          <w:p>
            <w:pPr>
              <w:spacing w:line="240" w:lineRule="auto"/>
              <w:rPr>
                <w:rFonts w:hint="eastAsia" w:ascii="宋体" w:hAnsi="宋体" w:eastAsia="仿宋" w:cs="仿宋"/>
                <w:sz w:val="24"/>
                <w:szCs w:val="24"/>
              </w:rPr>
            </w:pPr>
            <w:r>
              <w:rPr>
                <w:rFonts w:hint="eastAsia" w:ascii="宋体" w:hAnsi="宋体" w:eastAsia="仿宋" w:cs="仿宋"/>
                <w:sz w:val="24"/>
                <w:szCs w:val="24"/>
              </w:rPr>
              <w:t>根据《HSE管理体系 第1部分：规范》</w:t>
            </w:r>
            <w:r>
              <w:rPr>
                <w:rFonts w:hint="eastAsia" w:ascii="宋体" w:hAnsi="宋体" w:eastAsia="仿宋" w:cs="仿宋"/>
                <w:sz w:val="24"/>
                <w:szCs w:val="24"/>
                <w:lang w:eastAsia="zh-CN"/>
              </w:rPr>
              <w:t>（</w:t>
            </w:r>
            <w:r>
              <w:rPr>
                <w:rFonts w:hint="eastAsia" w:ascii="宋体" w:hAnsi="宋体" w:eastAsia="仿宋" w:cs="仿宋"/>
                <w:sz w:val="24"/>
                <w:szCs w:val="24"/>
              </w:rPr>
              <w:t>Q/SY 08002.1-2022</w:t>
            </w:r>
            <w:r>
              <w:rPr>
                <w:rFonts w:hint="eastAsia" w:ascii="宋体" w:hAnsi="宋体" w:eastAsia="仿宋" w:cs="仿宋"/>
                <w:sz w:val="24"/>
                <w:szCs w:val="24"/>
                <w:shd w:val="clear" w:color="auto" w:fill="FFFFFF"/>
                <w:lang w:eastAsia="zh-CN"/>
              </w:rPr>
              <w:t>）</w:t>
            </w:r>
            <w:r>
              <w:rPr>
                <w:rFonts w:hint="eastAsia" w:ascii="宋体" w:hAnsi="宋体" w:eastAsia="仿宋" w:cs="仿宋"/>
                <w:sz w:val="24"/>
                <w:szCs w:val="24"/>
              </w:rPr>
              <w:t>增加了安全风险分级管控效果评价要求。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39</w:t>
            </w:r>
          </w:p>
        </w:tc>
        <w:tc>
          <w:tcPr>
            <w:tcW w:w="1550" w:type="pct"/>
            <w:vAlign w:val="center"/>
          </w:tcPr>
          <w:p>
            <w:pPr>
              <w:spacing w:line="240" w:lineRule="auto"/>
              <w:rPr>
                <w:rFonts w:hint="eastAsia" w:ascii="宋体" w:hAnsi="宋体" w:eastAsia="仿宋" w:cs="仿宋"/>
                <w:sz w:val="24"/>
                <w:szCs w:val="24"/>
              </w:rPr>
            </w:pPr>
            <w:r>
              <w:rPr>
                <w:rFonts w:hint="eastAsia" w:ascii="宋体" w:hAnsi="宋体" w:eastAsia="仿宋" w:cs="仿宋"/>
                <w:sz w:val="24"/>
                <w:szCs w:val="24"/>
              </w:rPr>
              <w:t>5.5.3.1 隐患排查</w:t>
            </w:r>
          </w:p>
          <w:p>
            <w:pPr>
              <w:spacing w:line="240" w:lineRule="auto"/>
              <w:rPr>
                <w:rFonts w:hint="eastAsia" w:ascii="宋体" w:hAnsi="宋体" w:eastAsia="仿宋" w:cs="仿宋"/>
                <w:sz w:val="24"/>
                <w:szCs w:val="24"/>
              </w:rPr>
            </w:pPr>
            <w:r>
              <w:rPr>
                <w:rFonts w:hint="eastAsia" w:ascii="宋体" w:hAnsi="宋体" w:eastAsia="仿宋" w:cs="仿宋"/>
                <w:sz w:val="24"/>
                <w:szCs w:val="24"/>
              </w:rPr>
              <w:t>企业应建立隐患排查治理制度，逐级建立并落实从主要负责人到每位从业人员的隐患排查治理和防控责任制。并按照有关规定组织开展隐患排查治理工作，及时发现并消除隐患，实行隐患闭环管理。</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8.1 一般要求</w:t>
            </w:r>
          </w:p>
          <w:p>
            <w:pPr>
              <w:snapToGrid w:val="0"/>
              <w:spacing w:line="240" w:lineRule="auto"/>
              <w:rPr>
                <w:rFonts w:hint="eastAsia" w:ascii="宋体" w:hAnsi="宋体" w:eastAsia="仿宋" w:cs="仿宋"/>
                <w:sz w:val="24"/>
              </w:rPr>
            </w:pPr>
            <w:r>
              <w:rPr>
                <w:rFonts w:hint="eastAsia" w:ascii="宋体" w:hAnsi="宋体" w:eastAsia="仿宋" w:cs="仿宋"/>
                <w:sz w:val="24"/>
              </w:rPr>
              <w:t>企业应建立隐患排查治理的管理要求，明确隐患排查治理的责任、分级、排查、治理、验收等内容。</w:t>
            </w:r>
          </w:p>
          <w:p>
            <w:pPr>
              <w:snapToGrid w:val="0"/>
              <w:spacing w:line="240" w:lineRule="auto"/>
              <w:rPr>
                <w:rFonts w:hint="eastAsia" w:ascii="宋体" w:hAnsi="宋体" w:eastAsia="仿宋" w:cs="仿宋"/>
                <w:sz w:val="24"/>
              </w:rPr>
            </w:pPr>
            <w:r>
              <w:rPr>
                <w:rFonts w:hint="eastAsia" w:ascii="宋体" w:hAnsi="宋体" w:eastAsia="仿宋" w:cs="仿宋"/>
                <w:sz w:val="24"/>
              </w:rPr>
              <w:t>应如实记录隐患排查治理情况，定期进行统计分析，明确隐患排查治理重点，完善治理措施，并向从业人员通报隐患排查治理情况。</w:t>
            </w:r>
          </w:p>
          <w:p>
            <w:pPr>
              <w:snapToGrid w:val="0"/>
              <w:spacing w:line="240" w:lineRule="auto"/>
              <w:rPr>
                <w:rFonts w:hint="eastAsia" w:ascii="宋体" w:hAnsi="宋体" w:eastAsia="仿宋" w:cs="仿宋"/>
                <w:sz w:val="24"/>
              </w:rPr>
            </w:pPr>
            <w:r>
              <w:rPr>
                <w:rFonts w:hint="eastAsia" w:ascii="宋体" w:hAnsi="宋体" w:eastAsia="仿宋" w:cs="仿宋"/>
                <w:sz w:val="24"/>
              </w:rPr>
              <w:t>主要负责人应定期组织排查隐患，制定重大事故隐患治理方案，督促、检查重大事故隐患治理情况。</w:t>
            </w:r>
          </w:p>
        </w:tc>
        <w:tc>
          <w:tcPr>
            <w:tcW w:w="1657" w:type="pct"/>
            <w:vAlign w:val="center"/>
          </w:tcPr>
          <w:p>
            <w:pPr>
              <w:spacing w:line="240" w:lineRule="auto"/>
              <w:rPr>
                <w:rFonts w:hint="eastAsia" w:ascii="宋体" w:hAnsi="宋体" w:eastAsia="仿宋" w:cs="仿宋"/>
                <w:sz w:val="24"/>
                <w:szCs w:val="24"/>
              </w:rPr>
            </w:pPr>
            <w:r>
              <w:rPr>
                <w:rFonts w:hint="eastAsia" w:ascii="宋体" w:hAnsi="宋体" w:eastAsia="仿宋" w:cs="仿宋"/>
                <w:sz w:val="24"/>
                <w:szCs w:val="24"/>
              </w:rPr>
              <w:t>根据新框架，调整了制度建立要求的位置，融入“一般要求”建立事故隐患排查治理管理要求。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40</w:t>
            </w:r>
          </w:p>
        </w:tc>
        <w:tc>
          <w:tcPr>
            <w:tcW w:w="1550" w:type="pct"/>
            <w:vAlign w:val="center"/>
          </w:tcPr>
          <w:p>
            <w:pPr>
              <w:spacing w:line="240" w:lineRule="auto"/>
              <w:rPr>
                <w:rFonts w:hint="eastAsia" w:ascii="宋体" w:hAnsi="宋体" w:eastAsia="仿宋" w:cs="仿宋"/>
                <w:sz w:val="24"/>
                <w:szCs w:val="24"/>
              </w:rPr>
            </w:pPr>
            <w:r>
              <w:rPr>
                <w:rFonts w:hint="eastAsia" w:ascii="宋体" w:hAnsi="宋体" w:eastAsia="仿宋" w:cs="仿宋"/>
                <w:sz w:val="24"/>
                <w:szCs w:val="24"/>
              </w:rPr>
              <w:t>5.5.3.1 隐患排查</w:t>
            </w:r>
          </w:p>
          <w:p>
            <w:pPr>
              <w:spacing w:line="240" w:lineRule="auto"/>
              <w:rPr>
                <w:rFonts w:hint="eastAsia" w:ascii="宋体" w:hAnsi="宋体" w:eastAsia="仿宋" w:cs="仿宋"/>
                <w:sz w:val="24"/>
                <w:szCs w:val="24"/>
              </w:rPr>
            </w:pPr>
            <w:r>
              <w:rPr>
                <w:rFonts w:hint="eastAsia" w:ascii="宋体" w:hAnsi="宋体" w:eastAsia="仿宋" w:cs="仿宋"/>
                <w:sz w:val="24"/>
                <w:szCs w:val="24"/>
              </w:rPr>
              <w:t>企业应根据有关法律法规、标准规范等，组织制定各部门、岗位、场所、设备设施的隐患排查治理标准或排查清单，明确隐患排查的时限、范围、内容、频次和要求，并组织开展相应的培训。隐患排查的范围应包括所有与生产经营相关的场所、人员、设备设施和活动，包括承包商、供应商等相关方服务范围。</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8.2 隐患排查</w:t>
            </w:r>
          </w:p>
          <w:p>
            <w:pPr>
              <w:snapToGrid w:val="0"/>
              <w:spacing w:line="240" w:lineRule="auto"/>
              <w:rPr>
                <w:rFonts w:hint="eastAsia" w:ascii="宋体" w:hAnsi="宋体" w:eastAsia="仿宋" w:cs="仿宋"/>
                <w:sz w:val="24"/>
              </w:rPr>
            </w:pPr>
            <w:r>
              <w:rPr>
                <w:rFonts w:hint="eastAsia" w:ascii="宋体" w:hAnsi="宋体" w:eastAsia="仿宋" w:cs="仿宋"/>
                <w:sz w:val="24"/>
              </w:rPr>
              <w:t>企业应落实基层单位、业务部门、安全生产管理机构的隐患排查责任，组织开展全员隐患排查，监督各层级排查隐患，鼓励各岗位自主排查隐患。</w:t>
            </w:r>
          </w:p>
          <w:p>
            <w:pPr>
              <w:snapToGrid w:val="0"/>
              <w:spacing w:line="240" w:lineRule="auto"/>
              <w:rPr>
                <w:rFonts w:hint="eastAsia" w:ascii="宋体" w:hAnsi="宋体" w:eastAsia="仿宋" w:cs="仿宋"/>
                <w:sz w:val="24"/>
              </w:rPr>
            </w:pPr>
            <w:r>
              <w:rPr>
                <w:rFonts w:hint="eastAsia" w:ascii="宋体" w:hAnsi="宋体" w:eastAsia="仿宋" w:cs="仿宋"/>
                <w:sz w:val="24"/>
              </w:rPr>
              <w:t>隐患排查范围应覆盖所有与生产经营相关的场所、人员、设备设施和活动，包括相关方的服务范围。</w:t>
            </w:r>
          </w:p>
          <w:p>
            <w:pPr>
              <w:snapToGrid w:val="0"/>
              <w:spacing w:line="240" w:lineRule="auto"/>
              <w:rPr>
                <w:rFonts w:hint="eastAsia" w:ascii="宋体" w:hAnsi="宋体" w:eastAsia="仿宋" w:cs="仿宋"/>
                <w:sz w:val="24"/>
              </w:rPr>
            </w:pPr>
            <w:r>
              <w:rPr>
                <w:rFonts w:hint="eastAsia" w:ascii="宋体" w:hAnsi="宋体" w:eastAsia="仿宋" w:cs="仿宋"/>
                <w:sz w:val="24"/>
              </w:rPr>
              <w:t>企业应采取日常排查、专项排查等方式开展隐患排查，可与安全检查、合规评价、风险控制效果评价、应急救援总结评估等工作结合开展。</w:t>
            </w:r>
          </w:p>
          <w:p>
            <w:pPr>
              <w:snapToGrid w:val="0"/>
              <w:spacing w:line="240" w:lineRule="auto"/>
              <w:rPr>
                <w:rFonts w:hint="eastAsia" w:ascii="宋体" w:hAnsi="宋体" w:eastAsia="仿宋" w:cs="仿宋"/>
                <w:sz w:val="24"/>
              </w:rPr>
            </w:pPr>
            <w:r>
              <w:rPr>
                <w:rFonts w:hint="eastAsia" w:ascii="宋体" w:hAnsi="宋体" w:eastAsia="仿宋" w:cs="仿宋"/>
                <w:sz w:val="24"/>
              </w:rPr>
              <w:t>应按重大事故隐患判定标准进行排查、分级、登记，并按规定报告重大事故隐患。</w:t>
            </w:r>
          </w:p>
          <w:p>
            <w:pPr>
              <w:snapToGrid w:val="0"/>
              <w:spacing w:line="240" w:lineRule="auto"/>
              <w:rPr>
                <w:rFonts w:hint="eastAsia" w:ascii="宋体" w:hAnsi="宋体" w:eastAsia="仿宋" w:cs="仿宋"/>
                <w:sz w:val="24"/>
              </w:rPr>
            </w:pPr>
            <w:r>
              <w:rPr>
                <w:rFonts w:hint="eastAsia" w:ascii="宋体" w:hAnsi="宋体" w:eastAsia="仿宋" w:cs="仿宋"/>
                <w:sz w:val="24"/>
              </w:rPr>
              <w:t>应明确隐患内部报告的内容、途径、奖励标准与方式，及时核查、处理、反馈和奖励。</w:t>
            </w:r>
          </w:p>
        </w:tc>
        <w:tc>
          <w:tcPr>
            <w:tcW w:w="1657" w:type="pct"/>
            <w:vAlign w:val="center"/>
          </w:tcPr>
          <w:p>
            <w:pPr>
              <w:spacing w:line="240" w:lineRule="auto"/>
              <w:rPr>
                <w:rFonts w:hint="eastAsia" w:ascii="宋体" w:hAnsi="宋体" w:eastAsia="仿宋" w:cs="仿宋"/>
                <w:sz w:val="24"/>
                <w:szCs w:val="24"/>
              </w:rPr>
            </w:pPr>
            <w:r>
              <w:rPr>
                <w:rFonts w:hint="eastAsia" w:ascii="宋体" w:hAnsi="宋体" w:eastAsia="仿宋" w:cs="仿宋"/>
                <w:sz w:val="24"/>
                <w:szCs w:val="24"/>
              </w:rPr>
              <w:t>调整保留了事故隐患排查相关要求。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41</w:t>
            </w:r>
          </w:p>
        </w:tc>
        <w:tc>
          <w:tcPr>
            <w:tcW w:w="1550" w:type="pct"/>
            <w:vAlign w:val="center"/>
          </w:tcPr>
          <w:p>
            <w:pPr>
              <w:spacing w:line="240" w:lineRule="auto"/>
              <w:rPr>
                <w:rFonts w:hint="eastAsia" w:ascii="宋体" w:hAnsi="宋体" w:eastAsia="仿宋" w:cs="仿宋"/>
                <w:sz w:val="24"/>
                <w:szCs w:val="24"/>
              </w:rPr>
            </w:pPr>
            <w:r>
              <w:rPr>
                <w:rFonts w:hint="eastAsia" w:ascii="宋体" w:hAnsi="宋体" w:eastAsia="仿宋" w:cs="仿宋"/>
                <w:sz w:val="24"/>
                <w:szCs w:val="24"/>
              </w:rPr>
              <w:t>5.5.3.1 隐患排查</w:t>
            </w:r>
          </w:p>
          <w:p>
            <w:pPr>
              <w:spacing w:line="240" w:lineRule="auto"/>
              <w:rPr>
                <w:rFonts w:hint="eastAsia" w:ascii="宋体" w:hAnsi="宋体" w:eastAsia="仿宋" w:cs="仿宋"/>
                <w:sz w:val="24"/>
                <w:szCs w:val="24"/>
              </w:rPr>
            </w:pPr>
            <w:r>
              <w:rPr>
                <w:rFonts w:hint="eastAsia" w:ascii="宋体" w:hAnsi="宋体" w:eastAsia="仿宋" w:cs="仿宋"/>
                <w:sz w:val="24"/>
                <w:szCs w:val="24"/>
              </w:rPr>
              <w:t>企业应按照有关规定，结合安全生产的需要和特点，采用综合检查、专业检查、季节性检查、节假日检查、日常检查等不同方式进行隐患排查。对排查出的隐患，按照隐患的等级进行记录，建立隐患信息档案，并按照职责分工实施监控治理。组织有关专业技术人员对本企业可能存在的重大隐患</w:t>
            </w:r>
            <w:r>
              <w:rPr>
                <w:rFonts w:hint="eastAsia" w:ascii="宋体" w:hAnsi="宋体" w:eastAsia="仿宋" w:cs="仿宋"/>
                <w:sz w:val="24"/>
                <w:szCs w:val="24"/>
                <w:shd w:val="clear" w:fill="FFFFFF"/>
              </w:rPr>
              <w:t>作出</w:t>
            </w:r>
            <w:r>
              <w:rPr>
                <w:rFonts w:hint="eastAsia" w:ascii="宋体" w:hAnsi="宋体" w:eastAsia="仿宋" w:cs="仿宋"/>
                <w:sz w:val="24"/>
                <w:szCs w:val="24"/>
              </w:rPr>
              <w:t>认定，并按照有关规定进行管理。</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8.2 隐患排查</w:t>
            </w:r>
          </w:p>
          <w:p>
            <w:pPr>
              <w:snapToGrid w:val="0"/>
              <w:spacing w:line="240" w:lineRule="auto"/>
              <w:rPr>
                <w:rFonts w:hint="eastAsia" w:ascii="宋体" w:hAnsi="宋体" w:eastAsia="仿宋" w:cs="仿宋"/>
                <w:sz w:val="24"/>
              </w:rPr>
            </w:pPr>
            <w:r>
              <w:rPr>
                <w:rFonts w:hint="eastAsia" w:ascii="宋体" w:hAnsi="宋体" w:eastAsia="仿宋" w:cs="仿宋"/>
                <w:sz w:val="24"/>
              </w:rPr>
              <w:t>企业应采取日常排查、专项排查等方式开展隐患排查，可与安全检查、合规评价、风险控制效果评价、应急救援总结评估等工作结合开展。</w:t>
            </w:r>
          </w:p>
          <w:p>
            <w:pPr>
              <w:snapToGrid w:val="0"/>
              <w:spacing w:line="240" w:lineRule="auto"/>
              <w:rPr>
                <w:rFonts w:hint="eastAsia" w:ascii="宋体" w:hAnsi="宋体" w:eastAsia="仿宋" w:cs="仿宋"/>
                <w:sz w:val="24"/>
              </w:rPr>
            </w:pPr>
            <w:r>
              <w:rPr>
                <w:rFonts w:hint="eastAsia" w:ascii="宋体" w:hAnsi="宋体" w:eastAsia="仿宋" w:cs="仿宋"/>
                <w:sz w:val="24"/>
              </w:rPr>
              <w:t>应按重大事故隐患判定标准进行排查、分级、登记，并按规定报告重大事故隐患。</w:t>
            </w:r>
          </w:p>
          <w:p>
            <w:pPr>
              <w:snapToGrid w:val="0"/>
              <w:spacing w:line="240" w:lineRule="auto"/>
              <w:rPr>
                <w:rFonts w:hint="eastAsia" w:ascii="宋体" w:hAnsi="宋体" w:eastAsia="仿宋" w:cs="仿宋"/>
                <w:sz w:val="24"/>
              </w:rPr>
            </w:pPr>
            <w:r>
              <w:rPr>
                <w:rFonts w:hint="eastAsia" w:ascii="宋体" w:hAnsi="宋体" w:eastAsia="仿宋" w:cs="仿宋"/>
                <w:sz w:val="24"/>
              </w:rPr>
              <w:t>应明确隐患内部报告的内容、途径、奖励标准与方式，及时核查、处理、反馈和奖励。</w:t>
            </w:r>
          </w:p>
        </w:tc>
        <w:tc>
          <w:tcPr>
            <w:tcW w:w="1657" w:type="pct"/>
            <w:vAlign w:val="center"/>
          </w:tcPr>
          <w:p>
            <w:pPr>
              <w:spacing w:line="240" w:lineRule="auto"/>
              <w:rPr>
                <w:rFonts w:hint="eastAsia" w:ascii="宋体" w:hAnsi="宋体" w:eastAsia="仿宋" w:cs="仿宋"/>
                <w:sz w:val="24"/>
                <w:szCs w:val="24"/>
              </w:rPr>
            </w:pPr>
            <w:r>
              <w:rPr>
                <w:rFonts w:hint="eastAsia" w:ascii="宋体" w:hAnsi="宋体" w:eastAsia="仿宋" w:cs="仿宋"/>
                <w:sz w:val="24"/>
                <w:szCs w:val="24"/>
              </w:rPr>
              <w:t>调整保留了事故隐患排查检查的方式方法，明确企业应根据重大事故隐患判定标准进行排查和分级报告管理。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42</w:t>
            </w:r>
          </w:p>
        </w:tc>
        <w:tc>
          <w:tcPr>
            <w:tcW w:w="1550" w:type="pct"/>
            <w:vAlign w:val="center"/>
          </w:tcPr>
          <w:p>
            <w:pPr>
              <w:spacing w:line="240" w:lineRule="auto"/>
              <w:rPr>
                <w:rFonts w:hint="eastAsia" w:ascii="宋体" w:hAnsi="宋体" w:eastAsia="仿宋" w:cs="仿宋"/>
                <w:sz w:val="24"/>
                <w:szCs w:val="24"/>
              </w:rPr>
            </w:pPr>
            <w:r>
              <w:rPr>
                <w:rFonts w:hint="eastAsia" w:ascii="宋体" w:hAnsi="宋体" w:eastAsia="仿宋" w:cs="仿宋"/>
                <w:sz w:val="24"/>
                <w:szCs w:val="24"/>
              </w:rPr>
              <w:t>5.5.3.1 隐患排查</w:t>
            </w:r>
          </w:p>
          <w:p>
            <w:pPr>
              <w:spacing w:line="240" w:lineRule="auto"/>
              <w:rPr>
                <w:rFonts w:hint="eastAsia" w:ascii="宋体" w:hAnsi="宋体" w:eastAsia="仿宋" w:cs="仿宋"/>
                <w:sz w:val="24"/>
                <w:szCs w:val="24"/>
              </w:rPr>
            </w:pPr>
            <w:r>
              <w:rPr>
                <w:rFonts w:hint="eastAsia" w:ascii="宋体" w:hAnsi="宋体" w:eastAsia="仿宋" w:cs="仿宋"/>
                <w:sz w:val="24"/>
                <w:szCs w:val="24"/>
              </w:rPr>
              <w:t>企业应将相关方排查出的隐患统一纳入本企业隐患管理。</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8.2 隐患排查</w:t>
            </w:r>
          </w:p>
          <w:p>
            <w:pPr>
              <w:snapToGrid w:val="0"/>
              <w:spacing w:line="240" w:lineRule="auto"/>
              <w:rPr>
                <w:rFonts w:hint="eastAsia" w:ascii="宋体" w:hAnsi="宋体" w:eastAsia="仿宋" w:cs="仿宋"/>
                <w:sz w:val="24"/>
              </w:rPr>
            </w:pPr>
            <w:r>
              <w:rPr>
                <w:rFonts w:hint="eastAsia" w:ascii="宋体" w:hAnsi="宋体" w:eastAsia="仿宋" w:cs="仿宋"/>
                <w:sz w:val="24"/>
              </w:rPr>
              <w:t>隐患排查范围应覆盖所有与生产经营相关的场所、人员、设备设施和活动，包括相关方的服务范围。</w:t>
            </w:r>
          </w:p>
        </w:tc>
        <w:tc>
          <w:tcPr>
            <w:tcW w:w="1657" w:type="pct"/>
            <w:vAlign w:val="center"/>
          </w:tcPr>
          <w:p>
            <w:pPr>
              <w:spacing w:line="240" w:lineRule="auto"/>
              <w:rPr>
                <w:rFonts w:hint="eastAsia" w:ascii="宋体" w:hAnsi="宋体" w:eastAsia="仿宋" w:cs="仿宋"/>
                <w:sz w:val="24"/>
                <w:szCs w:val="24"/>
              </w:rPr>
            </w:pPr>
            <w:r>
              <w:rPr>
                <w:rFonts w:hint="eastAsia" w:ascii="宋体" w:hAnsi="宋体" w:eastAsia="仿宋" w:cs="仿宋"/>
                <w:sz w:val="24"/>
                <w:szCs w:val="24"/>
              </w:rPr>
              <w:t>调整保留了事故隐患排查有关相关方的范围。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43</w:t>
            </w:r>
          </w:p>
        </w:tc>
        <w:tc>
          <w:tcPr>
            <w:tcW w:w="1550" w:type="pct"/>
            <w:vAlign w:val="center"/>
          </w:tcPr>
          <w:p>
            <w:pPr>
              <w:spacing w:line="240" w:lineRule="auto"/>
              <w:rPr>
                <w:rFonts w:hint="eastAsia" w:ascii="宋体" w:hAnsi="宋体" w:eastAsia="仿宋" w:cs="仿宋"/>
                <w:sz w:val="24"/>
                <w:szCs w:val="24"/>
              </w:rPr>
            </w:pPr>
            <w:r>
              <w:rPr>
                <w:rFonts w:hint="eastAsia" w:ascii="宋体" w:hAnsi="宋体" w:eastAsia="仿宋" w:cs="仿宋"/>
                <w:sz w:val="24"/>
                <w:szCs w:val="24"/>
              </w:rPr>
              <w:t>5.5.3.2 隐患治理</w:t>
            </w:r>
          </w:p>
          <w:p>
            <w:pPr>
              <w:spacing w:line="240" w:lineRule="auto"/>
              <w:rPr>
                <w:rFonts w:hint="eastAsia" w:ascii="宋体" w:hAnsi="宋体" w:eastAsia="仿宋" w:cs="仿宋"/>
                <w:sz w:val="24"/>
                <w:szCs w:val="24"/>
              </w:rPr>
            </w:pPr>
            <w:r>
              <w:rPr>
                <w:rFonts w:hint="eastAsia" w:ascii="宋体" w:hAnsi="宋体" w:eastAsia="仿宋" w:cs="仿宋"/>
                <w:sz w:val="24"/>
                <w:szCs w:val="24"/>
              </w:rPr>
              <w:t>企业应根据隐患排查的结果，制定隐患治理方案，对隐患及时进行治理。</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8.3 隐患治理</w:t>
            </w:r>
          </w:p>
          <w:p>
            <w:pPr>
              <w:snapToGrid w:val="0"/>
              <w:spacing w:line="240" w:lineRule="auto"/>
              <w:rPr>
                <w:rFonts w:hint="eastAsia" w:ascii="宋体" w:hAnsi="宋体" w:eastAsia="仿宋" w:cs="仿宋"/>
                <w:sz w:val="24"/>
              </w:rPr>
            </w:pPr>
            <w:r>
              <w:rPr>
                <w:rFonts w:hint="eastAsia" w:ascii="宋体" w:hAnsi="宋体" w:eastAsia="仿宋" w:cs="仿宋"/>
                <w:sz w:val="24"/>
              </w:rPr>
              <w:t>企业应在确保安全的前提下，及时采取措施治理隐患。对不能立即治理的隐患，应科学制定临时管控措施和应急措施。</w:t>
            </w:r>
          </w:p>
          <w:p>
            <w:pPr>
              <w:snapToGrid w:val="0"/>
              <w:spacing w:line="240" w:lineRule="auto"/>
              <w:rPr>
                <w:rFonts w:hint="eastAsia" w:ascii="宋体" w:hAnsi="宋体" w:eastAsia="仿宋" w:cs="仿宋"/>
                <w:sz w:val="24"/>
              </w:rPr>
            </w:pPr>
            <w:r>
              <w:rPr>
                <w:rFonts w:hint="eastAsia" w:ascii="宋体" w:hAnsi="宋体" w:eastAsia="仿宋" w:cs="仿宋"/>
                <w:sz w:val="24"/>
              </w:rPr>
              <w:t>应按规定对隐患治理情况进行评估、验收。</w:t>
            </w:r>
          </w:p>
          <w:p>
            <w:pPr>
              <w:snapToGrid w:val="0"/>
              <w:spacing w:line="240" w:lineRule="auto"/>
              <w:rPr>
                <w:rFonts w:hint="eastAsia" w:ascii="宋体" w:hAnsi="宋体" w:eastAsia="仿宋" w:cs="仿宋"/>
                <w:sz w:val="24"/>
              </w:rPr>
            </w:pPr>
            <w:r>
              <w:rPr>
                <w:rFonts w:hint="eastAsia" w:ascii="宋体" w:hAnsi="宋体" w:eastAsia="仿宋" w:cs="仿宋"/>
                <w:sz w:val="24"/>
                <w:shd w:val="clear" w:color="auto" w:fill="FFFFFF"/>
              </w:rPr>
              <w:t>应对</w:t>
            </w:r>
            <w:r>
              <w:rPr>
                <w:rFonts w:hint="eastAsia" w:ascii="宋体" w:hAnsi="宋体" w:eastAsia="仿宋" w:cs="仿宋"/>
                <w:sz w:val="24"/>
              </w:rPr>
              <w:t>重大事故隐患进行督办，按照治理方案治理重大事故隐患，跟踪治理情况，评估治理效果，及时报告、验收核销。</w:t>
            </w:r>
          </w:p>
        </w:tc>
        <w:tc>
          <w:tcPr>
            <w:tcW w:w="1657" w:type="pct"/>
            <w:vAlign w:val="center"/>
          </w:tcPr>
          <w:p>
            <w:pPr>
              <w:spacing w:line="240" w:lineRule="auto"/>
              <w:rPr>
                <w:rFonts w:hint="eastAsia" w:ascii="宋体" w:hAnsi="宋体" w:eastAsia="仿宋" w:cs="仿宋"/>
                <w:sz w:val="24"/>
                <w:szCs w:val="24"/>
              </w:rPr>
            </w:pPr>
            <w:r>
              <w:rPr>
                <w:rFonts w:hint="eastAsia" w:ascii="宋体" w:hAnsi="宋体" w:eastAsia="仿宋" w:cs="仿宋"/>
                <w:sz w:val="24"/>
                <w:szCs w:val="24"/>
              </w:rPr>
              <w:t>弱化了事故隐患治理方案的要求，明确不能及时治理的事故隐患应采取的措施。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44</w:t>
            </w:r>
          </w:p>
        </w:tc>
        <w:tc>
          <w:tcPr>
            <w:tcW w:w="1550" w:type="pct"/>
            <w:vAlign w:val="center"/>
          </w:tcPr>
          <w:p>
            <w:pPr>
              <w:spacing w:line="240" w:lineRule="auto"/>
              <w:rPr>
                <w:rFonts w:hint="eastAsia" w:ascii="宋体" w:hAnsi="宋体" w:eastAsia="仿宋" w:cs="仿宋"/>
                <w:sz w:val="24"/>
                <w:szCs w:val="24"/>
              </w:rPr>
            </w:pPr>
            <w:r>
              <w:rPr>
                <w:rFonts w:hint="eastAsia" w:ascii="宋体" w:hAnsi="宋体" w:eastAsia="仿宋" w:cs="仿宋"/>
                <w:sz w:val="24"/>
                <w:szCs w:val="24"/>
              </w:rPr>
              <w:t>5.5.3.2 隐患治理</w:t>
            </w:r>
          </w:p>
          <w:p>
            <w:pPr>
              <w:spacing w:line="240" w:lineRule="auto"/>
              <w:rPr>
                <w:rFonts w:hint="eastAsia" w:ascii="宋体" w:hAnsi="宋体" w:eastAsia="仿宋" w:cs="仿宋"/>
                <w:sz w:val="24"/>
                <w:szCs w:val="24"/>
              </w:rPr>
            </w:pPr>
            <w:r>
              <w:rPr>
                <w:rFonts w:hint="eastAsia" w:ascii="宋体" w:hAnsi="宋体" w:eastAsia="仿宋" w:cs="仿宋"/>
                <w:sz w:val="24"/>
                <w:szCs w:val="24"/>
              </w:rPr>
              <w:t>企业应按照责任分工立即或限期组织整改一般隐患。主要负责人应组织制定并实施重大隐患治理方案。治理方案应包括目标和任务、方法和措施、经费和物资、机构和人员、时限和要求、应急预案。</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8.1 一般要求</w:t>
            </w:r>
          </w:p>
          <w:p>
            <w:pPr>
              <w:snapToGrid w:val="0"/>
              <w:spacing w:line="240" w:lineRule="auto"/>
              <w:rPr>
                <w:rFonts w:hint="eastAsia" w:ascii="宋体" w:hAnsi="宋体" w:eastAsia="仿宋" w:cs="仿宋"/>
                <w:sz w:val="24"/>
              </w:rPr>
            </w:pPr>
            <w:r>
              <w:rPr>
                <w:rFonts w:hint="eastAsia" w:ascii="宋体" w:hAnsi="宋体" w:eastAsia="仿宋" w:cs="仿宋"/>
                <w:sz w:val="24"/>
              </w:rPr>
              <w:t>主要负责人应定期组织排查隐患，制定重大事故隐患治理方案，督促、检查重大事故隐患治理情况。</w:t>
            </w:r>
          </w:p>
          <w:p>
            <w:pPr>
              <w:snapToGrid w:val="0"/>
              <w:spacing w:line="240" w:lineRule="auto"/>
              <w:rPr>
                <w:rFonts w:hint="eastAsia" w:ascii="宋体" w:hAnsi="宋体" w:eastAsia="仿宋" w:cs="仿宋"/>
                <w:sz w:val="24"/>
              </w:rPr>
            </w:pPr>
            <w:r>
              <w:rPr>
                <w:rFonts w:hint="eastAsia" w:ascii="宋体" w:hAnsi="宋体" w:eastAsia="仿宋" w:cs="仿宋"/>
                <w:sz w:val="24"/>
              </w:rPr>
              <w:t>8.3 隐患治理</w:t>
            </w:r>
          </w:p>
          <w:p>
            <w:pPr>
              <w:snapToGrid w:val="0"/>
              <w:spacing w:line="240" w:lineRule="auto"/>
              <w:rPr>
                <w:rFonts w:hint="eastAsia" w:ascii="宋体" w:hAnsi="宋体" w:eastAsia="仿宋" w:cs="仿宋"/>
                <w:sz w:val="24"/>
              </w:rPr>
            </w:pPr>
            <w:r>
              <w:rPr>
                <w:rFonts w:hint="eastAsia" w:ascii="宋体" w:hAnsi="宋体" w:eastAsia="仿宋" w:cs="仿宋"/>
                <w:sz w:val="24"/>
                <w:shd w:val="clear" w:color="auto" w:fill="FFFFFF"/>
              </w:rPr>
              <w:t>应对</w:t>
            </w:r>
            <w:r>
              <w:rPr>
                <w:rFonts w:hint="eastAsia" w:ascii="宋体" w:hAnsi="宋体" w:eastAsia="仿宋" w:cs="仿宋"/>
                <w:sz w:val="24"/>
              </w:rPr>
              <w:t>重大事故隐患进行督办，按照治理方案治理重大事故隐患，跟踪治理情况，评估治理效果，及时报告、验收核销。</w:t>
            </w:r>
          </w:p>
        </w:tc>
        <w:tc>
          <w:tcPr>
            <w:tcW w:w="1657" w:type="pct"/>
            <w:vAlign w:val="center"/>
          </w:tcPr>
          <w:p>
            <w:pPr>
              <w:spacing w:line="240" w:lineRule="auto"/>
              <w:rPr>
                <w:rFonts w:hint="eastAsia" w:ascii="宋体" w:hAnsi="宋体" w:eastAsia="仿宋" w:cs="仿宋"/>
                <w:sz w:val="24"/>
                <w:szCs w:val="24"/>
              </w:rPr>
            </w:pPr>
            <w:r>
              <w:rPr>
                <w:rFonts w:hint="eastAsia" w:ascii="宋体" w:hAnsi="宋体" w:eastAsia="仿宋" w:cs="仿宋"/>
                <w:sz w:val="24"/>
                <w:szCs w:val="24"/>
              </w:rPr>
              <w:t>调整保留了重大事故隐患排查治理的主要负责人职责，增加了重大事故隐患治理效果评估及报告要求。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45</w:t>
            </w:r>
          </w:p>
        </w:tc>
        <w:tc>
          <w:tcPr>
            <w:tcW w:w="1550" w:type="pct"/>
            <w:vAlign w:val="center"/>
          </w:tcPr>
          <w:p>
            <w:pPr>
              <w:spacing w:line="240" w:lineRule="auto"/>
              <w:rPr>
                <w:rFonts w:hint="eastAsia" w:ascii="宋体" w:hAnsi="宋体" w:eastAsia="仿宋" w:cs="仿宋"/>
                <w:sz w:val="24"/>
                <w:szCs w:val="24"/>
              </w:rPr>
            </w:pPr>
            <w:r>
              <w:rPr>
                <w:rFonts w:hint="eastAsia" w:ascii="宋体" w:hAnsi="宋体" w:eastAsia="仿宋" w:cs="仿宋"/>
                <w:sz w:val="24"/>
                <w:szCs w:val="24"/>
              </w:rPr>
              <w:t>5.5.3.2 隐患治理</w:t>
            </w:r>
          </w:p>
          <w:p>
            <w:pPr>
              <w:spacing w:line="240" w:lineRule="auto"/>
              <w:rPr>
                <w:rFonts w:hint="eastAsia" w:ascii="宋体" w:hAnsi="宋体" w:eastAsia="仿宋" w:cs="仿宋"/>
                <w:sz w:val="24"/>
                <w:szCs w:val="24"/>
              </w:rPr>
            </w:pPr>
            <w:r>
              <w:rPr>
                <w:rFonts w:hint="eastAsia" w:ascii="宋体" w:hAnsi="宋体" w:eastAsia="仿宋" w:cs="仿宋"/>
                <w:sz w:val="24"/>
                <w:szCs w:val="24"/>
              </w:rPr>
              <w:t>企业在隐患治理过程中，应采取相应的监控防范措施。隐患排除前或排除过程中无法保证安全的，应从危险区域内撤出作业人员，疏散可能危及的人员，设置</w:t>
            </w:r>
            <w:r>
              <w:rPr>
                <w:rFonts w:hint="eastAsia" w:ascii="宋体" w:hAnsi="宋体" w:eastAsia="仿宋" w:cs="仿宋"/>
                <w:sz w:val="24"/>
                <w:szCs w:val="24"/>
                <w:shd w:val="clear" w:color="auto" w:fill="FFFFFF"/>
              </w:rPr>
              <w:t>警戒标志</w:t>
            </w:r>
            <w:r>
              <w:rPr>
                <w:rFonts w:hint="eastAsia" w:ascii="宋体" w:hAnsi="宋体" w:eastAsia="仿宋" w:cs="仿宋"/>
                <w:sz w:val="24"/>
                <w:szCs w:val="24"/>
              </w:rPr>
              <w:t>，暂时停产停业或停止使用相关设备、设施。</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8.3 隐患治理</w:t>
            </w:r>
          </w:p>
          <w:p>
            <w:pPr>
              <w:snapToGrid w:val="0"/>
              <w:spacing w:line="240" w:lineRule="auto"/>
              <w:rPr>
                <w:rFonts w:hint="eastAsia" w:ascii="宋体" w:hAnsi="宋体" w:eastAsia="仿宋" w:cs="仿宋"/>
                <w:sz w:val="24"/>
              </w:rPr>
            </w:pPr>
            <w:r>
              <w:rPr>
                <w:rFonts w:hint="eastAsia" w:ascii="宋体" w:hAnsi="宋体" w:eastAsia="仿宋" w:cs="仿宋"/>
                <w:sz w:val="24"/>
              </w:rPr>
              <w:t>企业应在确保安全的前提下，及时采取措施治理隐患。对不能立即治理的隐患，应科学制定临时管控措施和应急措施。</w:t>
            </w:r>
          </w:p>
        </w:tc>
        <w:tc>
          <w:tcPr>
            <w:tcW w:w="1657" w:type="pct"/>
            <w:vAlign w:val="center"/>
          </w:tcPr>
          <w:p>
            <w:pPr>
              <w:spacing w:line="240" w:lineRule="auto"/>
              <w:rPr>
                <w:rFonts w:hint="eastAsia" w:ascii="宋体" w:hAnsi="宋体" w:eastAsia="仿宋" w:cs="仿宋"/>
                <w:sz w:val="24"/>
                <w:szCs w:val="24"/>
              </w:rPr>
            </w:pPr>
            <w:r>
              <w:rPr>
                <w:rFonts w:hint="eastAsia" w:ascii="宋体" w:hAnsi="宋体" w:eastAsia="仿宋" w:cs="仿宋"/>
                <w:sz w:val="24"/>
                <w:szCs w:val="24"/>
              </w:rPr>
              <w:t>调整保留了事故隐患治理过程中的风险控制措施。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46</w:t>
            </w:r>
          </w:p>
        </w:tc>
        <w:tc>
          <w:tcPr>
            <w:tcW w:w="1550" w:type="pct"/>
            <w:vAlign w:val="center"/>
          </w:tcPr>
          <w:p>
            <w:pPr>
              <w:spacing w:line="240" w:lineRule="auto"/>
              <w:rPr>
                <w:rFonts w:hint="eastAsia" w:ascii="宋体" w:hAnsi="宋体" w:eastAsia="仿宋" w:cs="仿宋"/>
                <w:sz w:val="24"/>
                <w:szCs w:val="24"/>
              </w:rPr>
            </w:pPr>
            <w:r>
              <w:rPr>
                <w:rFonts w:hint="eastAsia" w:ascii="宋体" w:hAnsi="宋体" w:eastAsia="仿宋" w:cs="仿宋"/>
                <w:sz w:val="24"/>
                <w:szCs w:val="24"/>
              </w:rPr>
              <w:t>5.5.3.3 验收与评估</w:t>
            </w:r>
          </w:p>
          <w:p>
            <w:pPr>
              <w:spacing w:line="240" w:lineRule="auto"/>
              <w:rPr>
                <w:rFonts w:hint="eastAsia" w:ascii="宋体" w:hAnsi="宋体" w:eastAsia="仿宋" w:cs="仿宋"/>
                <w:sz w:val="24"/>
                <w:szCs w:val="24"/>
              </w:rPr>
            </w:pPr>
            <w:r>
              <w:rPr>
                <w:rFonts w:hint="eastAsia" w:ascii="宋体" w:hAnsi="宋体" w:eastAsia="仿宋" w:cs="仿宋"/>
                <w:sz w:val="24"/>
                <w:szCs w:val="24"/>
              </w:rPr>
              <w:t>隐患治理完成后，企业应按照有关规定对治理情况进行评估、验收。重大隐患治理完成后，企业应组织本企业的安全管理人员和有关技术人员进行验收或委托依法设立的为安全生产提供技术、管理服务的机构进行评估。</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8.3 隐患治理</w:t>
            </w:r>
          </w:p>
          <w:p>
            <w:pPr>
              <w:snapToGrid w:val="0"/>
              <w:spacing w:line="240" w:lineRule="auto"/>
              <w:rPr>
                <w:rFonts w:hint="eastAsia" w:ascii="宋体" w:hAnsi="宋体" w:eastAsia="仿宋" w:cs="仿宋"/>
                <w:sz w:val="24"/>
              </w:rPr>
            </w:pPr>
            <w:r>
              <w:rPr>
                <w:rFonts w:hint="eastAsia" w:ascii="宋体" w:hAnsi="宋体" w:eastAsia="仿宋" w:cs="仿宋"/>
                <w:sz w:val="24"/>
              </w:rPr>
              <w:t>应按规定对隐患治理情况进行评估、验收。</w:t>
            </w:r>
          </w:p>
        </w:tc>
        <w:tc>
          <w:tcPr>
            <w:tcW w:w="1657" w:type="pct"/>
            <w:vAlign w:val="center"/>
          </w:tcPr>
          <w:p>
            <w:pPr>
              <w:spacing w:line="240" w:lineRule="auto"/>
              <w:rPr>
                <w:rFonts w:hint="eastAsia" w:ascii="宋体" w:hAnsi="宋体" w:eastAsia="仿宋" w:cs="仿宋"/>
                <w:sz w:val="24"/>
                <w:szCs w:val="24"/>
              </w:rPr>
            </w:pPr>
            <w:r>
              <w:rPr>
                <w:rFonts w:hint="eastAsia" w:ascii="宋体" w:hAnsi="宋体" w:eastAsia="仿宋" w:cs="仿宋"/>
                <w:sz w:val="24"/>
                <w:szCs w:val="24"/>
              </w:rPr>
              <w:t>调整保留了事故隐患及重大事故隐患治理情况的评估和验收。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47</w:t>
            </w:r>
          </w:p>
        </w:tc>
        <w:tc>
          <w:tcPr>
            <w:tcW w:w="1550" w:type="pct"/>
            <w:vAlign w:val="center"/>
          </w:tcPr>
          <w:p>
            <w:pPr>
              <w:spacing w:line="240" w:lineRule="auto"/>
              <w:rPr>
                <w:rFonts w:hint="eastAsia" w:ascii="宋体" w:hAnsi="宋体" w:eastAsia="仿宋" w:cs="仿宋"/>
                <w:sz w:val="24"/>
                <w:szCs w:val="24"/>
              </w:rPr>
            </w:pPr>
            <w:r>
              <w:rPr>
                <w:rFonts w:hint="eastAsia" w:ascii="宋体" w:hAnsi="宋体" w:eastAsia="仿宋" w:cs="仿宋"/>
                <w:sz w:val="24"/>
                <w:szCs w:val="24"/>
              </w:rPr>
              <w:t>5.5.3.4 信息记录、通报和报送</w:t>
            </w:r>
          </w:p>
          <w:p>
            <w:pPr>
              <w:spacing w:line="240" w:lineRule="auto"/>
              <w:rPr>
                <w:rFonts w:hint="eastAsia" w:ascii="宋体" w:hAnsi="宋体" w:eastAsia="仿宋" w:cs="仿宋"/>
                <w:sz w:val="24"/>
                <w:szCs w:val="24"/>
              </w:rPr>
            </w:pPr>
            <w:r>
              <w:rPr>
                <w:rFonts w:hint="eastAsia" w:ascii="宋体" w:hAnsi="宋体" w:eastAsia="仿宋" w:cs="仿宋"/>
                <w:sz w:val="24"/>
                <w:szCs w:val="24"/>
              </w:rPr>
              <w:t>企业应如实记录隐患排查治理情况，至少每月进行统计分析，及时将隐患排查治理情况向从业人员通报。</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8.1 一般要求</w:t>
            </w:r>
          </w:p>
          <w:p>
            <w:pPr>
              <w:snapToGrid w:val="0"/>
              <w:spacing w:line="240" w:lineRule="auto"/>
              <w:rPr>
                <w:rFonts w:hint="eastAsia" w:ascii="宋体" w:hAnsi="宋体" w:eastAsia="仿宋" w:cs="仿宋"/>
                <w:sz w:val="24"/>
              </w:rPr>
            </w:pPr>
            <w:r>
              <w:rPr>
                <w:rFonts w:hint="eastAsia" w:ascii="宋体" w:hAnsi="宋体" w:eastAsia="仿宋" w:cs="仿宋"/>
                <w:sz w:val="24"/>
              </w:rPr>
              <w:t>应如实记录隐患排查治理情况，定期进行统计分析，明确隐患排查治理重点，完善治理措施，并向从业人员通报隐患排查治理情况。</w:t>
            </w:r>
          </w:p>
        </w:tc>
        <w:tc>
          <w:tcPr>
            <w:tcW w:w="1657" w:type="pct"/>
            <w:vAlign w:val="center"/>
          </w:tcPr>
          <w:p>
            <w:pPr>
              <w:spacing w:line="240" w:lineRule="auto"/>
              <w:rPr>
                <w:rFonts w:hint="eastAsia" w:ascii="宋体" w:hAnsi="宋体" w:eastAsia="仿宋" w:cs="仿宋"/>
                <w:sz w:val="24"/>
                <w:szCs w:val="24"/>
              </w:rPr>
            </w:pPr>
            <w:r>
              <w:rPr>
                <w:rFonts w:hint="eastAsia" w:ascii="宋体" w:hAnsi="宋体" w:eastAsia="仿宋" w:cs="仿宋"/>
                <w:sz w:val="24"/>
                <w:szCs w:val="24"/>
              </w:rPr>
              <w:t>调整保留了事故隐患排查治理记录、统计分析及通报要求，增加了明确事故隐患排查</w:t>
            </w:r>
            <w:r>
              <w:rPr>
                <w:rFonts w:hint="eastAsia" w:ascii="宋体" w:hAnsi="宋体" w:eastAsia="仿宋" w:cs="仿宋"/>
                <w:sz w:val="24"/>
                <w:szCs w:val="24"/>
                <w:shd w:val="clear" w:fill="FFFFFF"/>
              </w:rPr>
              <w:t>治理</w:t>
            </w:r>
            <w:r>
              <w:rPr>
                <w:rFonts w:hint="eastAsia" w:ascii="宋体" w:hAnsi="宋体" w:eastAsia="仿宋" w:cs="仿宋"/>
                <w:sz w:val="24"/>
                <w:szCs w:val="24"/>
              </w:rPr>
              <w:t>重点的要求。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48</w:t>
            </w:r>
          </w:p>
        </w:tc>
        <w:tc>
          <w:tcPr>
            <w:tcW w:w="1550" w:type="pct"/>
            <w:vAlign w:val="center"/>
          </w:tcPr>
          <w:p>
            <w:pPr>
              <w:spacing w:line="240" w:lineRule="auto"/>
              <w:rPr>
                <w:rFonts w:hint="eastAsia" w:ascii="宋体" w:hAnsi="宋体" w:eastAsia="仿宋" w:cs="仿宋"/>
                <w:sz w:val="24"/>
                <w:szCs w:val="24"/>
              </w:rPr>
            </w:pPr>
            <w:r>
              <w:rPr>
                <w:rFonts w:hint="eastAsia" w:ascii="宋体" w:hAnsi="宋体" w:eastAsia="仿宋" w:cs="仿宋"/>
                <w:sz w:val="24"/>
                <w:szCs w:val="24"/>
              </w:rPr>
              <w:t>5.5.3.4 信息记录、通报和报送</w:t>
            </w:r>
          </w:p>
          <w:p>
            <w:pPr>
              <w:spacing w:line="240" w:lineRule="auto"/>
              <w:rPr>
                <w:rFonts w:hint="eastAsia" w:ascii="宋体" w:hAnsi="宋体" w:eastAsia="仿宋" w:cs="仿宋"/>
                <w:sz w:val="24"/>
                <w:szCs w:val="24"/>
              </w:rPr>
            </w:pPr>
            <w:r>
              <w:rPr>
                <w:rFonts w:hint="eastAsia" w:ascii="宋体" w:hAnsi="宋体" w:eastAsia="仿宋" w:cs="仿宋"/>
                <w:sz w:val="24"/>
                <w:szCs w:val="24"/>
              </w:rPr>
              <w:t>企业应运用隐患自查、自改、自报信息系统，通过信息系统对隐患排查、报告、治理、销账等过程进行电子化管理和统计分析，并按照当地安全监管部门和有关部门的要求，定期或实时报送隐患排查治理情况。</w:t>
            </w:r>
          </w:p>
        </w:tc>
        <w:tc>
          <w:tcPr>
            <w:tcW w:w="1535" w:type="pct"/>
            <w:vAlign w:val="center"/>
          </w:tcPr>
          <w:p>
            <w:pPr>
              <w:spacing w:line="240" w:lineRule="auto"/>
              <w:rPr>
                <w:rFonts w:hint="eastAsia" w:ascii="宋体" w:hAnsi="宋体" w:eastAsia="仿宋" w:cs="仿宋"/>
                <w:sz w:val="24"/>
                <w:szCs w:val="24"/>
              </w:rPr>
            </w:pPr>
            <w:r>
              <w:rPr>
                <w:rFonts w:hint="eastAsia" w:ascii="宋体" w:hAnsi="宋体" w:eastAsia="仿宋" w:cs="仿宋"/>
                <w:sz w:val="24"/>
                <w:szCs w:val="24"/>
              </w:rPr>
              <w:t>--</w:t>
            </w:r>
          </w:p>
        </w:tc>
        <w:tc>
          <w:tcPr>
            <w:tcW w:w="1657" w:type="pct"/>
            <w:vAlign w:val="center"/>
          </w:tcPr>
          <w:p>
            <w:pPr>
              <w:spacing w:line="240" w:lineRule="auto"/>
              <w:rPr>
                <w:rFonts w:hint="eastAsia" w:ascii="宋体" w:hAnsi="宋体" w:eastAsia="仿宋" w:cs="仿宋"/>
                <w:sz w:val="24"/>
                <w:szCs w:val="24"/>
              </w:rPr>
            </w:pPr>
            <w:r>
              <w:rPr>
                <w:rFonts w:hint="eastAsia" w:ascii="宋体" w:hAnsi="宋体" w:eastAsia="仿宋" w:cs="仿宋"/>
                <w:sz w:val="24"/>
                <w:szCs w:val="24"/>
              </w:rPr>
              <w:t>删减了事故隐患排查治理信息化应用，在5.5和5.6中增加了数字化智能化技术的应用建议及要求。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49</w:t>
            </w:r>
          </w:p>
        </w:tc>
        <w:tc>
          <w:tcPr>
            <w:tcW w:w="1550" w:type="pct"/>
            <w:vAlign w:val="center"/>
          </w:tcPr>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8.2 事故隐患排查</w:t>
            </w:r>
          </w:p>
          <w:p>
            <w:pPr>
              <w:snapToGrid w:val="0"/>
              <w:spacing w:line="240" w:lineRule="auto"/>
              <w:rPr>
                <w:rFonts w:hint="eastAsia" w:ascii="宋体" w:hAnsi="宋体" w:eastAsia="仿宋" w:cs="仿宋"/>
                <w:sz w:val="24"/>
              </w:rPr>
            </w:pPr>
            <w:r>
              <w:rPr>
                <w:rFonts w:hint="eastAsia" w:ascii="宋体" w:hAnsi="宋体" w:eastAsia="仿宋" w:cs="仿宋"/>
                <w:sz w:val="24"/>
              </w:rPr>
              <w:t>应明确隐患内部报告的内容、途径、奖励标准与方式，及时核查、处理、反馈和奖励。</w:t>
            </w:r>
          </w:p>
        </w:tc>
        <w:tc>
          <w:tcPr>
            <w:tcW w:w="1657" w:type="pct"/>
            <w:vAlign w:val="center"/>
          </w:tcPr>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根据《国务院安全生产委员会关于推动建立完善生产经营单位事故隐患内部报告奖励机制的意见》增加了企业事故隐患内部报告及奖励要求。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50</w:t>
            </w:r>
          </w:p>
        </w:tc>
        <w:tc>
          <w:tcPr>
            <w:tcW w:w="1550" w:type="pct"/>
            <w:vAlign w:val="center"/>
          </w:tcPr>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9.1人员准入</w:t>
            </w:r>
            <w:r>
              <w:rPr>
                <w:rFonts w:hint="eastAsia" w:ascii="宋体" w:hAnsi="宋体" w:eastAsia="仿宋" w:cs="仿宋"/>
                <w:sz w:val="24"/>
              </w:rPr>
              <w:br w:type="textWrapping"/>
            </w:r>
            <w:r>
              <w:rPr>
                <w:rFonts w:hint="eastAsia" w:ascii="宋体" w:hAnsi="宋体" w:eastAsia="仿宋" w:cs="仿宋"/>
                <w:sz w:val="24"/>
              </w:rPr>
              <w:t>企业应根据岗位需求从教育、培训或经历、技能、职业禁忌、生理、心理等方面，明确从业人员安全准入要求，确保从业人员具备胜任工作的能力。</w:t>
            </w:r>
          </w:p>
        </w:tc>
        <w:tc>
          <w:tcPr>
            <w:tcW w:w="1657" w:type="pct"/>
            <w:vAlign w:val="center"/>
          </w:tcPr>
          <w:p>
            <w:pPr>
              <w:widowControl/>
              <w:snapToGrid w:val="0"/>
              <w:spacing w:line="240" w:lineRule="auto"/>
              <w:jc w:val="left"/>
              <w:rPr>
                <w:rFonts w:hint="eastAsia" w:ascii="宋体" w:hAnsi="宋体" w:eastAsia="仿宋" w:cs="仿宋"/>
                <w:sz w:val="24"/>
                <w:szCs w:val="24"/>
                <w:lang w:eastAsia="zh-CN"/>
              </w:rPr>
            </w:pPr>
            <w:r>
              <w:rPr>
                <w:rFonts w:hint="eastAsia" w:ascii="宋体" w:hAnsi="宋体" w:eastAsia="仿宋" w:cs="仿宋"/>
                <w:kern w:val="0"/>
                <w:sz w:val="24"/>
                <w:szCs w:val="24"/>
              </w:rPr>
              <w:t>增加，从源头控制入厂从业人员，属于企业先进做法</w:t>
            </w:r>
            <w:r>
              <w:rPr>
                <w:rFonts w:hint="eastAsia" w:ascii="宋体" w:hAnsi="宋体" w:eastAsia="仿宋" w:cs="仿宋"/>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51</w:t>
            </w:r>
          </w:p>
        </w:tc>
        <w:tc>
          <w:tcPr>
            <w:tcW w:w="1550" w:type="pct"/>
            <w:vAlign w:val="center"/>
          </w:tcPr>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9.2安全资格</w:t>
            </w:r>
            <w:r>
              <w:rPr>
                <w:rFonts w:hint="eastAsia" w:ascii="宋体" w:hAnsi="宋体" w:eastAsia="仿宋" w:cs="仿宋"/>
                <w:sz w:val="24"/>
              </w:rPr>
              <w:br w:type="textWrapping"/>
            </w:r>
            <w:r>
              <w:rPr>
                <w:rFonts w:hint="eastAsia" w:ascii="宋体" w:hAnsi="宋体" w:eastAsia="仿宋" w:cs="仿宋"/>
                <w:sz w:val="24"/>
              </w:rPr>
              <w:t>企业应明确从业人员安全资格要求，确保从业人员取得与岗位相适应的任职资格，包括</w:t>
            </w:r>
            <w:r>
              <w:rPr>
                <w:rFonts w:hint="eastAsia" w:ascii="宋体" w:hAnsi="宋体" w:eastAsia="仿宋" w:cs="仿宋"/>
                <w:sz w:val="24"/>
                <w:shd w:val="clear" w:color="auto" w:fill="FFFFFF"/>
              </w:rPr>
              <w:t>：</w:t>
            </w:r>
          </w:p>
          <w:p>
            <w:pPr>
              <w:snapToGrid w:val="0"/>
              <w:spacing w:line="240" w:lineRule="auto"/>
              <w:rPr>
                <w:rFonts w:hint="eastAsia" w:ascii="宋体" w:hAnsi="宋体" w:eastAsia="仿宋" w:cs="仿宋"/>
                <w:sz w:val="24"/>
              </w:rPr>
            </w:pPr>
            <w:r>
              <w:rPr>
                <w:rFonts w:hint="eastAsia" w:ascii="宋体" w:hAnsi="宋体" w:eastAsia="仿宋" w:cs="仿宋"/>
                <w:sz w:val="24"/>
              </w:rPr>
              <w:t>a</w:t>
            </w:r>
            <w:r>
              <w:rPr>
                <w:rFonts w:hint="eastAsia" w:ascii="宋体" w:hAnsi="宋体" w:eastAsia="仿宋" w:cs="仿宋"/>
                <w:sz w:val="24"/>
                <w:shd w:val="clear" w:color="auto" w:fill="FFFFFF"/>
              </w:rPr>
              <w:t>)</w:t>
            </w:r>
            <w:r>
              <w:rPr>
                <w:rFonts w:hint="eastAsia" w:ascii="宋体" w:hAnsi="宋体" w:eastAsia="仿宋" w:cs="仿宋"/>
                <w:sz w:val="24"/>
              </w:rPr>
              <w:t>主要负责人、安全生产管理人员、特种作业人员等应按规定持证上岗；</w:t>
            </w:r>
          </w:p>
          <w:p>
            <w:pPr>
              <w:snapToGrid w:val="0"/>
              <w:spacing w:line="240" w:lineRule="auto"/>
              <w:rPr>
                <w:rFonts w:hint="eastAsia" w:ascii="宋体" w:hAnsi="宋体" w:eastAsia="仿宋" w:cs="仿宋"/>
                <w:sz w:val="24"/>
              </w:rPr>
            </w:pPr>
            <w:r>
              <w:rPr>
                <w:rFonts w:hint="eastAsia" w:ascii="宋体" w:hAnsi="宋体" w:eastAsia="仿宋" w:cs="仿宋"/>
                <w:sz w:val="24"/>
              </w:rPr>
              <w:t>b</w:t>
            </w:r>
            <w:r>
              <w:rPr>
                <w:rFonts w:hint="eastAsia" w:ascii="宋体" w:hAnsi="宋体" w:eastAsia="仿宋" w:cs="仿宋"/>
                <w:sz w:val="24"/>
                <w:shd w:val="clear" w:color="auto" w:fill="FFFFFF"/>
              </w:rPr>
              <w:t>)</w:t>
            </w:r>
            <w:r>
              <w:rPr>
                <w:rFonts w:hint="eastAsia" w:ascii="宋体" w:hAnsi="宋体" w:eastAsia="仿宋" w:cs="仿宋"/>
                <w:sz w:val="24"/>
              </w:rPr>
              <w:t>其他从业人员经相关培训合格后上岗。</w:t>
            </w:r>
          </w:p>
        </w:tc>
        <w:tc>
          <w:tcPr>
            <w:tcW w:w="1657" w:type="pct"/>
            <w:vAlign w:val="center"/>
          </w:tcPr>
          <w:p>
            <w:pPr>
              <w:widowControl/>
              <w:snapToGrid w:val="0"/>
              <w:spacing w:line="240" w:lineRule="auto"/>
              <w:jc w:val="left"/>
              <w:rPr>
                <w:rFonts w:hint="eastAsia" w:ascii="宋体" w:hAnsi="宋体" w:eastAsia="仿宋" w:cs="仿宋"/>
                <w:sz w:val="24"/>
                <w:szCs w:val="24"/>
                <w:lang w:eastAsia="zh-CN"/>
              </w:rPr>
            </w:pPr>
            <w:r>
              <w:rPr>
                <w:rFonts w:hint="eastAsia" w:ascii="宋体" w:hAnsi="宋体" w:eastAsia="仿宋" w:cs="仿宋"/>
                <w:kern w:val="0"/>
                <w:sz w:val="24"/>
                <w:szCs w:val="24"/>
              </w:rPr>
              <w:t>增加二级要素，将原文3.2.1.2、3.2.1.3、3.2.2.1、3.2.2.7进行整合、调整</w:t>
            </w:r>
            <w:r>
              <w:rPr>
                <w:rFonts w:hint="eastAsia" w:ascii="宋体" w:hAnsi="宋体" w:eastAsia="仿宋" w:cs="仿宋"/>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52</w:t>
            </w:r>
          </w:p>
        </w:tc>
        <w:tc>
          <w:tcPr>
            <w:tcW w:w="1550" w:type="pct"/>
            <w:vAlign w:val="center"/>
          </w:tcPr>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9.3.1 资源配置</w:t>
            </w:r>
            <w:r>
              <w:rPr>
                <w:rFonts w:hint="eastAsia" w:ascii="宋体" w:hAnsi="宋体" w:eastAsia="仿宋" w:cs="仿宋"/>
                <w:sz w:val="24"/>
              </w:rPr>
              <w:br w:type="textWrapping"/>
            </w:r>
            <w:r>
              <w:rPr>
                <w:rFonts w:hint="eastAsia" w:ascii="宋体" w:hAnsi="宋体" w:eastAsia="仿宋" w:cs="仿宋"/>
                <w:sz w:val="24"/>
              </w:rPr>
              <w:t>企业应提供所需的师资、场地、设备、教材和资金等资源。</w:t>
            </w:r>
          </w:p>
          <w:p>
            <w:pPr>
              <w:snapToGrid w:val="0"/>
              <w:spacing w:line="240" w:lineRule="auto"/>
              <w:rPr>
                <w:rFonts w:hint="eastAsia" w:ascii="宋体" w:hAnsi="宋体" w:eastAsia="仿宋" w:cs="仿宋"/>
                <w:sz w:val="24"/>
              </w:rPr>
            </w:pPr>
            <w:r>
              <w:rPr>
                <w:rFonts w:hint="eastAsia" w:ascii="宋体" w:hAnsi="宋体" w:eastAsia="仿宋" w:cs="仿宋"/>
                <w:sz w:val="24"/>
              </w:rPr>
              <w:t>宜建立安全培训师资队伍，并定期对其进行培训。</w:t>
            </w:r>
          </w:p>
        </w:tc>
        <w:tc>
          <w:tcPr>
            <w:tcW w:w="1657" w:type="pct"/>
            <w:vAlign w:val="center"/>
          </w:tcPr>
          <w:p>
            <w:pPr>
              <w:widowControl/>
              <w:snapToGrid w:val="0"/>
              <w:spacing w:line="240" w:lineRule="auto"/>
              <w:jc w:val="left"/>
              <w:rPr>
                <w:rFonts w:hint="eastAsia" w:ascii="宋体" w:hAnsi="宋体" w:eastAsia="仿宋" w:cs="仿宋"/>
                <w:sz w:val="24"/>
                <w:szCs w:val="24"/>
                <w:lang w:eastAsia="zh-CN"/>
              </w:rPr>
            </w:pPr>
            <w:r>
              <w:rPr>
                <w:rFonts w:hint="eastAsia" w:ascii="宋体" w:hAnsi="宋体" w:eastAsia="仿宋" w:cs="仿宋"/>
                <w:kern w:val="0"/>
                <w:sz w:val="24"/>
                <w:szCs w:val="24"/>
              </w:rPr>
              <w:t>增加，强调对培训资源的要求，保证培训效果，属于企业的先进做法</w:t>
            </w:r>
            <w:r>
              <w:rPr>
                <w:rFonts w:hint="eastAsia" w:ascii="宋体" w:hAnsi="宋体" w:eastAsia="仿宋" w:cs="仿宋"/>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53</w:t>
            </w:r>
          </w:p>
        </w:tc>
        <w:tc>
          <w:tcPr>
            <w:tcW w:w="1550" w:type="pct"/>
            <w:vAlign w:val="center"/>
          </w:tcPr>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 xml:space="preserve"> 5.3.1 教育培训管理</w:t>
            </w:r>
            <w:r>
              <w:rPr>
                <w:rFonts w:hint="eastAsia" w:ascii="宋体" w:hAnsi="宋体" w:eastAsia="仿宋" w:cs="仿宋"/>
                <w:sz w:val="24"/>
                <w:szCs w:val="24"/>
              </w:rPr>
              <w:br w:type="textWrapping"/>
            </w:r>
            <w:r>
              <w:rPr>
                <w:rFonts w:hint="eastAsia" w:ascii="宋体" w:hAnsi="宋体" w:eastAsia="仿宋" w:cs="仿宋"/>
                <w:sz w:val="24"/>
                <w:szCs w:val="24"/>
              </w:rPr>
              <w:t xml:space="preserve"> 5.3.1.1企业应建立健全安全教育培训制度，按照有关规定进行培训。培训大纲、内容、时间应满足有关标准的规定。</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9.3.2组织实施</w:t>
            </w:r>
            <w:r>
              <w:rPr>
                <w:rFonts w:hint="eastAsia" w:ascii="宋体" w:hAnsi="宋体" w:eastAsia="仿宋" w:cs="仿宋"/>
                <w:sz w:val="24"/>
              </w:rPr>
              <w:br w:type="textWrapping"/>
            </w:r>
            <w:r>
              <w:rPr>
                <w:rFonts w:hint="eastAsia" w:ascii="宋体" w:hAnsi="宋体" w:eastAsia="仿宋" w:cs="仿宋"/>
                <w:sz w:val="24"/>
              </w:rPr>
              <w:t>企业应明确安全培训的责任部门、对象、内容、方式和时间等管理要求。</w:t>
            </w:r>
          </w:p>
        </w:tc>
        <w:tc>
          <w:tcPr>
            <w:tcW w:w="1657" w:type="pct"/>
            <w:vAlign w:val="center"/>
          </w:tcPr>
          <w:p>
            <w:pPr>
              <w:widowControl/>
              <w:snapToGrid w:val="0"/>
              <w:spacing w:line="240" w:lineRule="auto"/>
              <w:jc w:val="left"/>
              <w:rPr>
                <w:rFonts w:hint="eastAsia" w:ascii="宋体" w:hAnsi="宋体" w:eastAsia="仿宋" w:cs="仿宋"/>
                <w:sz w:val="24"/>
                <w:szCs w:val="24"/>
                <w:lang w:eastAsia="zh-CN"/>
              </w:rPr>
            </w:pPr>
            <w:r>
              <w:rPr>
                <w:rFonts w:hint="eastAsia" w:ascii="宋体" w:hAnsi="宋体" w:eastAsia="仿宋" w:cs="仿宋"/>
                <w:kern w:val="0"/>
                <w:sz w:val="24"/>
                <w:szCs w:val="24"/>
              </w:rPr>
              <w:t>删除制度，只提要求，避免有的老师检查时要求建立独立的管理制度；培训大纲一般企业无法做到那么细致</w:t>
            </w:r>
            <w:r>
              <w:rPr>
                <w:rFonts w:hint="eastAsia" w:ascii="宋体" w:hAnsi="宋体" w:eastAsia="仿宋" w:cs="仿宋"/>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54</w:t>
            </w:r>
          </w:p>
        </w:tc>
        <w:tc>
          <w:tcPr>
            <w:tcW w:w="1550" w:type="pct"/>
            <w:vAlign w:val="center"/>
          </w:tcPr>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5.3.1.2企业安全教育培训应包括安全生产和职业卫生的内容。</w:t>
            </w:r>
          </w:p>
        </w:tc>
        <w:tc>
          <w:tcPr>
            <w:tcW w:w="1535" w:type="pct"/>
            <w:vAlign w:val="center"/>
          </w:tcPr>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w:t>
            </w:r>
          </w:p>
        </w:tc>
        <w:tc>
          <w:tcPr>
            <w:tcW w:w="1657" w:type="pct"/>
            <w:vAlign w:val="center"/>
          </w:tcPr>
          <w:p>
            <w:pPr>
              <w:widowControl/>
              <w:snapToGrid w:val="0"/>
              <w:spacing w:line="240" w:lineRule="auto"/>
              <w:jc w:val="left"/>
              <w:rPr>
                <w:rFonts w:hint="eastAsia" w:ascii="宋体" w:hAnsi="宋体" w:eastAsia="仿宋" w:cs="仿宋"/>
                <w:sz w:val="24"/>
                <w:szCs w:val="24"/>
                <w:lang w:eastAsia="zh-CN"/>
              </w:rPr>
            </w:pPr>
            <w:r>
              <w:rPr>
                <w:rFonts w:hint="eastAsia" w:ascii="宋体" w:hAnsi="宋体" w:eastAsia="仿宋" w:cs="仿宋"/>
                <w:kern w:val="0"/>
                <w:sz w:val="24"/>
                <w:szCs w:val="24"/>
              </w:rPr>
              <w:t>删除，正确的废话</w:t>
            </w:r>
            <w:r>
              <w:rPr>
                <w:rFonts w:hint="eastAsia" w:ascii="宋体" w:hAnsi="宋体" w:eastAsia="仿宋" w:cs="仿宋"/>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55</w:t>
            </w:r>
          </w:p>
        </w:tc>
        <w:tc>
          <w:tcPr>
            <w:tcW w:w="1550" w:type="pct"/>
            <w:vAlign w:val="center"/>
          </w:tcPr>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5.3.1.3企业应明确安全教育培训主管部门，定期识别安全教育培训需求，制定、实施安全教育培训计划，并保证必要的安全教育培训资源。</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9.3.2组织实施</w:t>
            </w:r>
            <w:r>
              <w:rPr>
                <w:rFonts w:hint="eastAsia" w:ascii="宋体" w:hAnsi="宋体" w:eastAsia="仿宋" w:cs="仿宋"/>
                <w:sz w:val="24"/>
              </w:rPr>
              <w:br w:type="textWrapping"/>
            </w:r>
            <w:r>
              <w:rPr>
                <w:rFonts w:hint="eastAsia" w:ascii="宋体" w:hAnsi="宋体" w:eastAsia="仿宋" w:cs="仿宋"/>
                <w:sz w:val="24"/>
              </w:rPr>
              <w:t>应定期识别安全培训需求，制定安全培训计划，并组织实施。</w:t>
            </w:r>
          </w:p>
          <w:p>
            <w:pPr>
              <w:snapToGrid w:val="0"/>
              <w:spacing w:line="240" w:lineRule="auto"/>
              <w:rPr>
                <w:rFonts w:hint="eastAsia" w:ascii="宋体" w:hAnsi="宋体" w:eastAsia="仿宋" w:cs="仿宋"/>
                <w:sz w:val="24"/>
              </w:rPr>
            </w:pPr>
            <w:r>
              <w:rPr>
                <w:rFonts w:hint="eastAsia" w:ascii="宋体" w:hAnsi="宋体" w:eastAsia="仿宋" w:cs="仿宋"/>
                <w:sz w:val="24"/>
              </w:rPr>
              <w:t>应对从业人员、相关方人员等进行相应的安全培训，安全培训内容、学时、方式等满足法定要求。</w:t>
            </w:r>
          </w:p>
        </w:tc>
        <w:tc>
          <w:tcPr>
            <w:tcW w:w="1657" w:type="pct"/>
            <w:vAlign w:val="center"/>
          </w:tcPr>
          <w:p>
            <w:pPr>
              <w:widowControl/>
              <w:snapToGrid w:val="0"/>
              <w:spacing w:line="240" w:lineRule="auto"/>
              <w:jc w:val="left"/>
              <w:rPr>
                <w:rFonts w:hint="eastAsia" w:ascii="宋体" w:hAnsi="宋体" w:eastAsia="仿宋" w:cs="仿宋"/>
                <w:sz w:val="24"/>
                <w:szCs w:val="24"/>
                <w:lang w:eastAsia="zh-CN"/>
              </w:rPr>
            </w:pPr>
            <w:r>
              <w:rPr>
                <w:rFonts w:hint="eastAsia" w:ascii="宋体" w:hAnsi="宋体" w:eastAsia="仿宋" w:cs="仿宋"/>
                <w:kern w:val="0"/>
                <w:sz w:val="24"/>
                <w:szCs w:val="24"/>
              </w:rPr>
              <w:t>3.1.3由本条及6.3.1.1的内容组成，内容不变</w:t>
            </w:r>
            <w:r>
              <w:rPr>
                <w:rFonts w:hint="eastAsia" w:ascii="宋体" w:hAnsi="宋体" w:eastAsia="仿宋" w:cs="仿宋"/>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56</w:t>
            </w:r>
          </w:p>
        </w:tc>
        <w:tc>
          <w:tcPr>
            <w:tcW w:w="1550" w:type="pct"/>
            <w:vMerge w:val="restart"/>
            <w:vAlign w:val="center"/>
          </w:tcPr>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5.3.1.4企业应如实记录全体从业人员的安全教育和培训情况，建立安全教育培训档案和从业人员个人安全教育培训档案，并对培训效果进行评估和改进。</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9.3.3档案管理</w:t>
            </w:r>
            <w:r>
              <w:rPr>
                <w:rFonts w:hint="eastAsia" w:ascii="宋体" w:hAnsi="宋体" w:eastAsia="仿宋" w:cs="仿宋"/>
                <w:sz w:val="24"/>
              </w:rPr>
              <w:br w:type="textWrapping"/>
            </w:r>
            <w:r>
              <w:rPr>
                <w:rFonts w:hint="eastAsia" w:ascii="宋体" w:hAnsi="宋体" w:eastAsia="仿宋" w:cs="仿宋"/>
                <w:sz w:val="24"/>
              </w:rPr>
              <w:t>企业应如实记录安全培训情况，建立安全培训档案。</w:t>
            </w:r>
          </w:p>
        </w:tc>
        <w:tc>
          <w:tcPr>
            <w:tcW w:w="1657" w:type="pct"/>
            <w:vMerge w:val="restart"/>
            <w:vAlign w:val="center"/>
          </w:tcPr>
          <w:p>
            <w:pPr>
              <w:widowControl/>
              <w:snapToGrid w:val="0"/>
              <w:spacing w:line="240" w:lineRule="auto"/>
              <w:jc w:val="left"/>
              <w:rPr>
                <w:rFonts w:hint="eastAsia" w:ascii="宋体" w:hAnsi="宋体" w:eastAsia="仿宋" w:cs="仿宋"/>
                <w:sz w:val="24"/>
                <w:szCs w:val="24"/>
                <w:lang w:eastAsia="zh-CN"/>
              </w:rPr>
            </w:pPr>
            <w:r>
              <w:rPr>
                <w:rFonts w:hint="eastAsia" w:ascii="宋体" w:hAnsi="宋体" w:eastAsia="仿宋" w:cs="仿宋"/>
                <w:kern w:val="0"/>
                <w:sz w:val="24"/>
                <w:szCs w:val="24"/>
              </w:rPr>
              <w:t>分成两条，增加红色内容，删除蓝色部分内容，语言更加简练。对培训档案的存档形式提出推荐性意见，符合现在信息化管理的要求，为管理人员减少了工作量，也便于快速查找</w:t>
            </w:r>
            <w:r>
              <w:rPr>
                <w:rFonts w:hint="eastAsia" w:ascii="宋体" w:hAnsi="宋体" w:eastAsia="仿宋" w:cs="仿宋"/>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57</w:t>
            </w:r>
          </w:p>
        </w:tc>
        <w:tc>
          <w:tcPr>
            <w:tcW w:w="1550" w:type="pct"/>
            <w:vMerge w:val="continue"/>
            <w:vAlign w:val="center"/>
          </w:tcPr>
          <w:p>
            <w:pPr>
              <w:widowControl/>
              <w:snapToGrid w:val="0"/>
              <w:spacing w:line="240" w:lineRule="auto"/>
              <w:jc w:val="left"/>
              <w:rPr>
                <w:rFonts w:hint="eastAsia" w:ascii="宋体" w:hAnsi="宋体" w:eastAsia="仿宋" w:cs="仿宋"/>
                <w:sz w:val="24"/>
                <w:szCs w:val="24"/>
              </w:rPr>
            </w:pP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9.3.3档案管理</w:t>
            </w:r>
            <w:r>
              <w:rPr>
                <w:rFonts w:hint="eastAsia" w:ascii="宋体" w:hAnsi="宋体" w:eastAsia="仿宋" w:cs="仿宋"/>
                <w:sz w:val="24"/>
              </w:rPr>
              <w:br w:type="textWrapping"/>
            </w:r>
            <w:r>
              <w:rPr>
                <w:rFonts w:hint="eastAsia" w:ascii="宋体" w:hAnsi="宋体" w:eastAsia="仿宋" w:cs="仿宋"/>
                <w:sz w:val="24"/>
              </w:rPr>
              <w:t>宜运用信息化手段管理安全培训档案。</w:t>
            </w:r>
          </w:p>
        </w:tc>
        <w:tc>
          <w:tcPr>
            <w:tcW w:w="1657" w:type="pct"/>
            <w:vMerge w:val="continue"/>
            <w:vAlign w:val="center"/>
          </w:tcPr>
          <w:p>
            <w:pPr>
              <w:snapToGrid w:val="0"/>
              <w:spacing w:line="240" w:lineRule="auto"/>
              <w:rPr>
                <w:rFonts w:hint="eastAsia" w:ascii="宋体" w:hAnsi="宋体"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58</w:t>
            </w:r>
          </w:p>
        </w:tc>
        <w:tc>
          <w:tcPr>
            <w:tcW w:w="1550" w:type="pct"/>
            <w:vAlign w:val="center"/>
          </w:tcPr>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 xml:space="preserve">     5.3.2.1.1企业的主要负责人和安全生产管理人员应具备与本企业所从事的生产经营活动相适应的安全生产和职业卫生知识与能力。</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9.2安全资格</w:t>
            </w:r>
          </w:p>
          <w:p>
            <w:pPr>
              <w:snapToGrid w:val="0"/>
              <w:spacing w:line="240" w:lineRule="auto"/>
              <w:rPr>
                <w:rFonts w:hint="eastAsia" w:ascii="宋体" w:hAnsi="宋体" w:eastAsia="仿宋" w:cs="仿宋"/>
                <w:sz w:val="24"/>
              </w:rPr>
            </w:pPr>
            <w:r>
              <w:rPr>
                <w:rFonts w:hint="eastAsia" w:ascii="宋体" w:hAnsi="宋体" w:eastAsia="仿宋" w:cs="仿宋"/>
                <w:sz w:val="24"/>
              </w:rPr>
              <w:t>企业应明确从业人员安全资格要求，确保从业人员取得与岗位相适应的任职资格，包括：</w:t>
            </w:r>
          </w:p>
          <w:p>
            <w:pPr>
              <w:snapToGrid w:val="0"/>
              <w:spacing w:line="240" w:lineRule="auto"/>
              <w:rPr>
                <w:rFonts w:hint="eastAsia" w:ascii="宋体" w:hAnsi="宋体" w:eastAsia="仿宋" w:cs="仿宋"/>
                <w:sz w:val="24"/>
              </w:rPr>
            </w:pPr>
            <w:r>
              <w:rPr>
                <w:rFonts w:hint="eastAsia" w:ascii="宋体" w:hAnsi="宋体" w:eastAsia="仿宋" w:cs="仿宋"/>
                <w:sz w:val="24"/>
              </w:rPr>
              <w:t>a</w:t>
            </w:r>
            <w:r>
              <w:rPr>
                <w:rFonts w:hint="eastAsia" w:ascii="宋体" w:hAnsi="宋体" w:eastAsia="仿宋" w:cs="仿宋"/>
                <w:sz w:val="24"/>
                <w:shd w:val="clear" w:color="auto" w:fill="FFFFFF"/>
              </w:rPr>
              <w:t>)</w:t>
            </w:r>
            <w:r>
              <w:rPr>
                <w:rFonts w:hint="eastAsia" w:ascii="宋体" w:hAnsi="宋体" w:eastAsia="仿宋" w:cs="仿宋"/>
                <w:sz w:val="24"/>
              </w:rPr>
              <w:t>主要负责人、安全生产管理人员、特种作业人员等应按规定持证上岗；</w:t>
            </w:r>
          </w:p>
        </w:tc>
        <w:tc>
          <w:tcPr>
            <w:tcW w:w="1657" w:type="pct"/>
            <w:vMerge w:val="restart"/>
            <w:vAlign w:val="center"/>
          </w:tcPr>
          <w:p>
            <w:pPr>
              <w:widowControl/>
              <w:snapToGrid w:val="0"/>
              <w:spacing w:line="240" w:lineRule="auto"/>
              <w:jc w:val="left"/>
              <w:rPr>
                <w:rFonts w:hint="eastAsia" w:ascii="宋体" w:hAnsi="宋体" w:eastAsia="仿宋" w:cs="仿宋"/>
                <w:sz w:val="24"/>
                <w:szCs w:val="24"/>
                <w:lang w:eastAsia="zh-CN"/>
              </w:rPr>
            </w:pPr>
            <w:r>
              <w:rPr>
                <w:rFonts w:hint="eastAsia" w:ascii="宋体" w:hAnsi="宋体" w:eastAsia="仿宋" w:cs="仿宋"/>
                <w:kern w:val="0"/>
                <w:sz w:val="24"/>
                <w:szCs w:val="24"/>
              </w:rPr>
              <w:t>放在安全资格里面，高度提炼内容</w:t>
            </w:r>
            <w:r>
              <w:rPr>
                <w:rFonts w:hint="eastAsia" w:ascii="宋体" w:hAnsi="宋体" w:eastAsia="仿宋" w:cs="仿宋"/>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59</w:t>
            </w:r>
          </w:p>
        </w:tc>
        <w:tc>
          <w:tcPr>
            <w:tcW w:w="1550" w:type="pct"/>
            <w:vAlign w:val="center"/>
          </w:tcPr>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 xml:space="preserve">     5.3.2.1.2企业应对各级管理人员进行教育培训，确保其具备正确履行岗位安全生产和职业卫生职责的知识与能力。</w:t>
            </w:r>
          </w:p>
        </w:tc>
        <w:tc>
          <w:tcPr>
            <w:tcW w:w="1535" w:type="pct"/>
            <w:vMerge w:val="restart"/>
          </w:tcPr>
          <w:p>
            <w:pPr>
              <w:snapToGrid w:val="0"/>
              <w:spacing w:line="240" w:lineRule="auto"/>
              <w:rPr>
                <w:rFonts w:hint="eastAsia" w:ascii="宋体" w:hAnsi="宋体" w:eastAsia="仿宋" w:cs="仿宋"/>
                <w:sz w:val="24"/>
              </w:rPr>
            </w:pPr>
            <w:r>
              <w:rPr>
                <w:rFonts w:hint="eastAsia" w:ascii="宋体" w:hAnsi="宋体" w:eastAsia="仿宋" w:cs="仿宋"/>
                <w:sz w:val="24"/>
              </w:rPr>
              <w:t xml:space="preserve">9.2安全资格 </w:t>
            </w:r>
            <w:r>
              <w:rPr>
                <w:rFonts w:hint="eastAsia" w:ascii="宋体" w:hAnsi="宋体" w:eastAsia="仿宋" w:cs="仿宋"/>
                <w:sz w:val="24"/>
              </w:rPr>
              <w:br w:type="textWrapping"/>
            </w:r>
            <w:r>
              <w:rPr>
                <w:rFonts w:hint="eastAsia" w:ascii="宋体" w:hAnsi="宋体" w:eastAsia="仿宋" w:cs="仿宋"/>
                <w:sz w:val="24"/>
              </w:rPr>
              <w:t>b</w:t>
            </w:r>
            <w:r>
              <w:rPr>
                <w:rFonts w:hint="eastAsia" w:ascii="宋体" w:hAnsi="宋体" w:eastAsia="仿宋" w:cs="仿宋"/>
                <w:sz w:val="24"/>
                <w:shd w:val="clear" w:color="auto" w:fill="FFFFFF"/>
              </w:rPr>
              <w:t>)</w:t>
            </w:r>
            <w:r>
              <w:rPr>
                <w:rFonts w:hint="eastAsia" w:ascii="宋体" w:hAnsi="宋体" w:eastAsia="仿宋" w:cs="仿宋"/>
                <w:sz w:val="24"/>
              </w:rPr>
              <w:t>其他从业人员经相关培训合格后上岗</w:t>
            </w:r>
            <w:r>
              <w:rPr>
                <w:rFonts w:hint="eastAsia" w:ascii="宋体" w:hAnsi="宋体" w:eastAsia="仿宋" w:cs="仿宋"/>
                <w:sz w:val="24"/>
                <w:shd w:val="clear" w:color="auto" w:fill="FFFFFF"/>
              </w:rPr>
              <w:t>。</w:t>
            </w:r>
          </w:p>
        </w:tc>
        <w:tc>
          <w:tcPr>
            <w:tcW w:w="1657" w:type="pct"/>
            <w:vMerge w:val="continue"/>
            <w:vAlign w:val="center"/>
          </w:tcPr>
          <w:p>
            <w:pPr>
              <w:widowControl/>
              <w:snapToGrid w:val="0"/>
              <w:spacing w:line="240" w:lineRule="auto"/>
              <w:jc w:val="left"/>
              <w:rPr>
                <w:rFonts w:hint="eastAsia" w:ascii="宋体" w:hAnsi="宋体"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60</w:t>
            </w:r>
          </w:p>
        </w:tc>
        <w:tc>
          <w:tcPr>
            <w:tcW w:w="1550" w:type="pct"/>
            <w:vAlign w:val="center"/>
          </w:tcPr>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 xml:space="preserve">     5.3.2.1.3法律法规要求考核其安全生产和职业卫生知识与能力的人员，应按照有关规定经考核合格。</w:t>
            </w:r>
          </w:p>
        </w:tc>
        <w:tc>
          <w:tcPr>
            <w:tcW w:w="1535" w:type="pct"/>
            <w:vMerge w:val="continue"/>
            <w:vAlign w:val="center"/>
          </w:tcPr>
          <w:p>
            <w:pPr>
              <w:widowControl/>
              <w:snapToGrid w:val="0"/>
              <w:spacing w:line="240" w:lineRule="auto"/>
              <w:jc w:val="left"/>
              <w:rPr>
                <w:rFonts w:hint="eastAsia" w:ascii="宋体" w:hAnsi="宋体" w:eastAsia="仿宋" w:cs="仿宋"/>
                <w:sz w:val="24"/>
                <w:szCs w:val="24"/>
              </w:rPr>
            </w:pPr>
          </w:p>
        </w:tc>
        <w:tc>
          <w:tcPr>
            <w:tcW w:w="1657" w:type="pct"/>
            <w:vMerge w:val="continue"/>
            <w:vAlign w:val="center"/>
          </w:tcPr>
          <w:p>
            <w:pPr>
              <w:widowControl/>
              <w:snapToGrid w:val="0"/>
              <w:spacing w:line="240" w:lineRule="auto"/>
              <w:jc w:val="left"/>
              <w:rPr>
                <w:rFonts w:hint="eastAsia" w:ascii="宋体" w:hAnsi="宋体"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61</w:t>
            </w:r>
          </w:p>
        </w:tc>
        <w:tc>
          <w:tcPr>
            <w:tcW w:w="1550" w:type="pct"/>
            <w:vAlign w:val="center"/>
          </w:tcPr>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 xml:space="preserve">     5.3.2.2.1企业应对从业人员进行安全生产和职业卫生教育培训，保证从业人员具备满足岗位要求的安全生产和职业卫生知识，熟悉有关的安全生产和职业卫生法律法规、规章制度、操作规程，掌握本岗位的安全操作技能和职业危害防护技能、安全风险辨识和管控方法，了解事故现场应急处置措施，并根据实际需要，定期进行复训考核。</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9.3.2组织实施</w:t>
            </w:r>
            <w:r>
              <w:rPr>
                <w:rFonts w:hint="eastAsia" w:ascii="宋体" w:hAnsi="宋体" w:eastAsia="仿宋" w:cs="仿宋"/>
                <w:sz w:val="24"/>
              </w:rPr>
              <w:br w:type="textWrapping"/>
            </w:r>
            <w:r>
              <w:rPr>
                <w:rFonts w:hint="eastAsia" w:ascii="宋体" w:hAnsi="宋体" w:eastAsia="仿宋" w:cs="仿宋"/>
                <w:sz w:val="24"/>
              </w:rPr>
              <w:t>应对从业人员、相关方人员等进行相应的安全培训，安全培训内容、学时、方式等满足法定要求。</w:t>
            </w:r>
          </w:p>
        </w:tc>
        <w:tc>
          <w:tcPr>
            <w:tcW w:w="1657" w:type="pct"/>
            <w:vMerge w:val="continue"/>
            <w:vAlign w:val="center"/>
          </w:tcPr>
          <w:p>
            <w:pPr>
              <w:snapToGrid w:val="0"/>
              <w:spacing w:line="240" w:lineRule="auto"/>
              <w:rPr>
                <w:rFonts w:hint="eastAsia" w:ascii="宋体" w:hAnsi="宋体"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62</w:t>
            </w:r>
          </w:p>
        </w:tc>
        <w:tc>
          <w:tcPr>
            <w:tcW w:w="1550" w:type="pct"/>
            <w:vAlign w:val="center"/>
          </w:tcPr>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9.3.2组织实施</w:t>
            </w:r>
            <w:r>
              <w:rPr>
                <w:rFonts w:hint="eastAsia" w:ascii="宋体" w:hAnsi="宋体" w:eastAsia="仿宋" w:cs="仿宋"/>
                <w:sz w:val="24"/>
              </w:rPr>
              <w:br w:type="textWrapping"/>
            </w:r>
            <w:r>
              <w:rPr>
                <w:rFonts w:hint="eastAsia" w:ascii="宋体" w:hAnsi="宋体" w:eastAsia="仿宋" w:cs="仿宋"/>
                <w:sz w:val="24"/>
              </w:rPr>
              <w:t>安全培训宜采取理论和实践相结合的形式，实践培训可采用实际操作、沉浸式体验等手段。</w:t>
            </w:r>
          </w:p>
          <w:p>
            <w:pPr>
              <w:snapToGrid w:val="0"/>
              <w:spacing w:line="240" w:lineRule="auto"/>
              <w:rPr>
                <w:rFonts w:hint="eastAsia" w:ascii="宋体" w:hAnsi="宋体" w:eastAsia="仿宋" w:cs="仿宋"/>
                <w:sz w:val="24"/>
              </w:rPr>
            </w:pPr>
            <w:r>
              <w:rPr>
                <w:rFonts w:hint="eastAsia" w:ascii="宋体" w:hAnsi="宋体" w:eastAsia="仿宋" w:cs="仿宋"/>
                <w:sz w:val="24"/>
              </w:rPr>
              <w:t>企业应及时对安全培训效果进行评估。</w:t>
            </w:r>
          </w:p>
        </w:tc>
        <w:tc>
          <w:tcPr>
            <w:tcW w:w="1657" w:type="pct"/>
            <w:vAlign w:val="center"/>
          </w:tcPr>
          <w:p>
            <w:pPr>
              <w:widowControl/>
              <w:snapToGrid w:val="0"/>
              <w:spacing w:line="240" w:lineRule="auto"/>
              <w:jc w:val="left"/>
              <w:rPr>
                <w:rFonts w:hint="eastAsia" w:ascii="宋体" w:hAnsi="宋体" w:eastAsia="仿宋" w:cs="仿宋"/>
                <w:sz w:val="24"/>
                <w:szCs w:val="24"/>
                <w:lang w:eastAsia="zh-CN"/>
              </w:rPr>
            </w:pPr>
            <w:r>
              <w:rPr>
                <w:rFonts w:hint="eastAsia" w:ascii="宋体" w:hAnsi="宋体" w:eastAsia="仿宋" w:cs="仿宋"/>
                <w:kern w:val="0"/>
                <w:sz w:val="24"/>
                <w:szCs w:val="24"/>
              </w:rPr>
              <w:t>增加条款，鼓励实践培训来达到更好的培训效果</w:t>
            </w:r>
            <w:r>
              <w:rPr>
                <w:rFonts w:hint="eastAsia" w:ascii="宋体" w:hAnsi="宋体" w:eastAsia="仿宋" w:cs="仿宋"/>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63</w:t>
            </w:r>
          </w:p>
        </w:tc>
        <w:tc>
          <w:tcPr>
            <w:tcW w:w="1550" w:type="pct"/>
            <w:vAlign w:val="center"/>
          </w:tcPr>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 xml:space="preserve">    5.3.2.2.2未经安全教育培训合格的从业人员，不应上岗作业。</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9.2安全资格</w:t>
            </w:r>
          </w:p>
        </w:tc>
        <w:tc>
          <w:tcPr>
            <w:tcW w:w="1657" w:type="pct"/>
            <w:vAlign w:val="center"/>
          </w:tcPr>
          <w:p>
            <w:pPr>
              <w:widowControl/>
              <w:snapToGrid w:val="0"/>
              <w:spacing w:line="240" w:lineRule="auto"/>
              <w:jc w:val="left"/>
              <w:rPr>
                <w:rFonts w:hint="eastAsia" w:ascii="宋体" w:hAnsi="宋体" w:eastAsia="仿宋" w:cs="仿宋"/>
                <w:sz w:val="24"/>
                <w:szCs w:val="24"/>
                <w:lang w:eastAsia="zh-CN"/>
              </w:rPr>
            </w:pPr>
            <w:r>
              <w:rPr>
                <w:rFonts w:hint="eastAsia" w:ascii="宋体" w:hAnsi="宋体" w:eastAsia="仿宋" w:cs="仿宋"/>
                <w:kern w:val="0"/>
                <w:sz w:val="24"/>
                <w:szCs w:val="24"/>
              </w:rPr>
              <w:t>删除，在安全资格里包含了相关内容</w:t>
            </w:r>
            <w:r>
              <w:rPr>
                <w:rFonts w:hint="eastAsia" w:ascii="宋体" w:hAnsi="宋体" w:eastAsia="仿宋" w:cs="仿宋"/>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64</w:t>
            </w:r>
          </w:p>
        </w:tc>
        <w:tc>
          <w:tcPr>
            <w:tcW w:w="1550" w:type="pct"/>
            <w:vAlign w:val="center"/>
          </w:tcPr>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 xml:space="preserve">    5.3.2.2.3煤矿、非煤矿山、危险化学品、烟花爆竹、金属冶炼等企业应对新上岗的临时工、合同工、劳务工、轮换工、协议工等进行强制性安全培训，保证其具备本岗位安全操作、自救互救以及应急处置所需的知识和技能后，方能安排上岗作业。</w:t>
            </w:r>
          </w:p>
        </w:tc>
        <w:tc>
          <w:tcPr>
            <w:tcW w:w="1535" w:type="pct"/>
            <w:vAlign w:val="center"/>
          </w:tcPr>
          <w:p>
            <w:pPr>
              <w:widowControl/>
              <w:snapToGrid w:val="0"/>
              <w:spacing w:line="240" w:lineRule="auto"/>
              <w:jc w:val="left"/>
              <w:rPr>
                <w:rFonts w:hint="eastAsia" w:ascii="宋体" w:hAnsi="宋体" w:eastAsia="仿宋" w:cs="仿宋"/>
                <w:sz w:val="24"/>
                <w:szCs w:val="24"/>
              </w:rPr>
            </w:pPr>
            <w:r>
              <w:rPr>
                <w:rFonts w:hint="eastAsia" w:ascii="宋体" w:hAnsi="宋体" w:eastAsia="仿宋" w:cs="仿宋"/>
                <w:sz w:val="24"/>
                <w:szCs w:val="24"/>
              </w:rPr>
              <w:t>--</w:t>
            </w:r>
          </w:p>
        </w:tc>
        <w:tc>
          <w:tcPr>
            <w:tcW w:w="1657" w:type="pct"/>
            <w:vAlign w:val="center"/>
          </w:tcPr>
          <w:p>
            <w:pPr>
              <w:snapToGrid w:val="0"/>
              <w:spacing w:line="240" w:lineRule="auto"/>
              <w:jc w:val="left"/>
              <w:rPr>
                <w:rFonts w:hint="eastAsia" w:ascii="宋体" w:hAnsi="宋体" w:eastAsia="仿宋" w:cs="仿宋"/>
                <w:sz w:val="24"/>
                <w:szCs w:val="24"/>
                <w:lang w:eastAsia="zh-CN"/>
              </w:rPr>
            </w:pPr>
            <w:r>
              <w:rPr>
                <w:rFonts w:hint="eastAsia" w:ascii="宋体" w:hAnsi="宋体" w:eastAsia="仿宋" w:cs="仿宋"/>
                <w:sz w:val="24"/>
                <w:szCs w:val="24"/>
              </w:rPr>
              <w:t>删除，不需要那么细化，在各专业评定标准中再去说</w:t>
            </w:r>
            <w:r>
              <w:rPr>
                <w:rFonts w:hint="eastAsia" w:ascii="宋体" w:hAnsi="宋体" w:eastAsia="仿宋" w:cs="仿宋"/>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65</w:t>
            </w:r>
          </w:p>
        </w:tc>
        <w:tc>
          <w:tcPr>
            <w:tcW w:w="1550" w:type="pct"/>
            <w:vAlign w:val="center"/>
          </w:tcPr>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 xml:space="preserve">    5.3.2.2.4企业的新入厂（矿）从业人员上岗前应</w:t>
            </w:r>
            <w:r>
              <w:rPr>
                <w:rFonts w:hint="eastAsia" w:ascii="宋体" w:hAnsi="宋体" w:eastAsia="仿宋" w:cs="仿宋"/>
                <w:sz w:val="24"/>
                <w:szCs w:val="24"/>
                <w:shd w:val="clear" w:color="auto" w:fill="FFFFFF"/>
              </w:rPr>
              <w:t>经过厂</w:t>
            </w:r>
            <w:r>
              <w:rPr>
                <w:rFonts w:hint="eastAsia" w:ascii="宋体" w:hAnsi="宋体" w:eastAsia="仿宋" w:cs="仿宋"/>
                <w:sz w:val="24"/>
                <w:szCs w:val="24"/>
              </w:rPr>
              <w:t>（矿）、车间（工段、区、队）、班组三级安全培训教育，岗前安全教育培训学时和内容应符合国家和行业的有关规定。</w:t>
            </w:r>
          </w:p>
        </w:tc>
        <w:tc>
          <w:tcPr>
            <w:tcW w:w="1535" w:type="pct"/>
            <w:vAlign w:val="center"/>
          </w:tcPr>
          <w:p>
            <w:pPr>
              <w:widowControl/>
              <w:snapToGrid w:val="0"/>
              <w:spacing w:line="240" w:lineRule="auto"/>
              <w:jc w:val="left"/>
              <w:rPr>
                <w:rFonts w:hint="eastAsia" w:ascii="宋体" w:hAnsi="宋体" w:eastAsia="仿宋" w:cs="仿宋"/>
                <w:sz w:val="24"/>
                <w:szCs w:val="24"/>
              </w:rPr>
            </w:pPr>
            <w:r>
              <w:rPr>
                <w:rFonts w:hint="eastAsia" w:ascii="宋体" w:hAnsi="宋体" w:eastAsia="仿宋" w:cs="仿宋"/>
                <w:sz w:val="24"/>
                <w:szCs w:val="24"/>
              </w:rPr>
              <w:t>--</w:t>
            </w:r>
          </w:p>
        </w:tc>
        <w:tc>
          <w:tcPr>
            <w:tcW w:w="1657" w:type="pct"/>
            <w:vAlign w:val="center"/>
          </w:tcPr>
          <w:p>
            <w:pPr>
              <w:snapToGrid w:val="0"/>
              <w:spacing w:line="240" w:lineRule="auto"/>
              <w:rPr>
                <w:rFonts w:hint="eastAsia" w:ascii="宋体" w:hAnsi="宋体" w:eastAsia="仿宋" w:cs="仿宋"/>
                <w:sz w:val="24"/>
                <w:szCs w:val="24"/>
                <w:lang w:eastAsia="zh-CN"/>
              </w:rPr>
            </w:pPr>
            <w:r>
              <w:rPr>
                <w:rFonts w:hint="eastAsia" w:ascii="宋体" w:hAnsi="宋体" w:eastAsia="仿宋" w:cs="仿宋"/>
                <w:sz w:val="24"/>
                <w:szCs w:val="24"/>
              </w:rPr>
              <w:t>删除，不需要那么细化，在各专业评定标准中再去说</w:t>
            </w:r>
            <w:r>
              <w:rPr>
                <w:rFonts w:hint="eastAsia" w:ascii="宋体" w:hAnsi="宋体" w:eastAsia="仿宋" w:cs="仿宋"/>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66</w:t>
            </w:r>
          </w:p>
        </w:tc>
        <w:tc>
          <w:tcPr>
            <w:tcW w:w="1550" w:type="pct"/>
            <w:vAlign w:val="center"/>
          </w:tcPr>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 xml:space="preserve">    5.3.2.2.5在新工艺、新技术、新材料、新设备设施投入使用前，企业应对有关从业人员进行专门的安全生产和职业卫生教育培训，确保其具备相应的安全操作、事故预防和应急处置能力。</w:t>
            </w:r>
          </w:p>
        </w:tc>
        <w:tc>
          <w:tcPr>
            <w:tcW w:w="1535" w:type="pct"/>
            <w:vAlign w:val="center"/>
          </w:tcPr>
          <w:p>
            <w:pPr>
              <w:widowControl/>
              <w:snapToGrid w:val="0"/>
              <w:spacing w:line="240" w:lineRule="auto"/>
              <w:jc w:val="left"/>
              <w:rPr>
                <w:rFonts w:hint="eastAsia" w:ascii="宋体" w:hAnsi="宋体" w:eastAsia="仿宋" w:cs="仿宋"/>
                <w:sz w:val="24"/>
                <w:szCs w:val="24"/>
              </w:rPr>
            </w:pPr>
            <w:r>
              <w:rPr>
                <w:rFonts w:hint="eastAsia" w:ascii="宋体" w:hAnsi="宋体" w:eastAsia="仿宋" w:cs="仿宋"/>
                <w:sz w:val="24"/>
                <w:szCs w:val="24"/>
              </w:rPr>
              <w:t>--</w:t>
            </w:r>
          </w:p>
        </w:tc>
        <w:tc>
          <w:tcPr>
            <w:tcW w:w="1657" w:type="pct"/>
            <w:vAlign w:val="center"/>
          </w:tcPr>
          <w:p>
            <w:pPr>
              <w:snapToGrid w:val="0"/>
              <w:spacing w:line="240" w:lineRule="auto"/>
              <w:rPr>
                <w:rFonts w:hint="eastAsia" w:ascii="宋体" w:hAnsi="宋体" w:eastAsia="仿宋" w:cs="仿宋"/>
                <w:sz w:val="24"/>
                <w:szCs w:val="24"/>
                <w:lang w:eastAsia="zh-CN"/>
              </w:rPr>
            </w:pPr>
            <w:r>
              <w:rPr>
                <w:rFonts w:hint="eastAsia" w:ascii="宋体" w:hAnsi="宋体" w:eastAsia="仿宋" w:cs="仿宋"/>
                <w:sz w:val="24"/>
                <w:szCs w:val="24"/>
              </w:rPr>
              <w:t>删除，不需要那么细化，在各专业评定标准中再去说</w:t>
            </w:r>
            <w:r>
              <w:rPr>
                <w:rFonts w:hint="eastAsia" w:ascii="宋体" w:hAnsi="宋体" w:eastAsia="仿宋" w:cs="仿宋"/>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67</w:t>
            </w:r>
          </w:p>
        </w:tc>
        <w:tc>
          <w:tcPr>
            <w:tcW w:w="1550" w:type="pct"/>
            <w:vAlign w:val="center"/>
          </w:tcPr>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 xml:space="preserve">    5.3.2.2.6从业人员在企业内部调整工作岗位或离岗</w:t>
            </w:r>
            <w:r>
              <w:rPr>
                <w:rFonts w:hint="eastAsia" w:ascii="宋体" w:hAnsi="宋体" w:eastAsia="仿宋" w:cs="仿宋"/>
                <w:sz w:val="24"/>
                <w:szCs w:val="24"/>
                <w:shd w:val="clear" w:color="auto" w:fill="FFFFFF"/>
              </w:rPr>
              <w:t>一年</w:t>
            </w:r>
            <w:r>
              <w:rPr>
                <w:rFonts w:hint="eastAsia" w:ascii="宋体" w:hAnsi="宋体" w:eastAsia="仿宋" w:cs="仿宋"/>
                <w:sz w:val="24"/>
                <w:szCs w:val="24"/>
              </w:rPr>
              <w:t>以上重新上岗时，应重新进行车间（工段、区、队）和班组级的安全教育培训。</w:t>
            </w:r>
          </w:p>
        </w:tc>
        <w:tc>
          <w:tcPr>
            <w:tcW w:w="1535" w:type="pct"/>
            <w:vAlign w:val="center"/>
          </w:tcPr>
          <w:p>
            <w:pPr>
              <w:widowControl/>
              <w:snapToGrid w:val="0"/>
              <w:spacing w:line="240" w:lineRule="auto"/>
              <w:jc w:val="left"/>
              <w:rPr>
                <w:rFonts w:hint="eastAsia" w:ascii="宋体" w:hAnsi="宋体" w:eastAsia="仿宋" w:cs="仿宋"/>
                <w:sz w:val="24"/>
                <w:szCs w:val="24"/>
              </w:rPr>
            </w:pPr>
            <w:r>
              <w:rPr>
                <w:rFonts w:hint="eastAsia" w:ascii="宋体" w:hAnsi="宋体" w:eastAsia="仿宋" w:cs="仿宋"/>
                <w:sz w:val="24"/>
                <w:szCs w:val="24"/>
              </w:rPr>
              <w:t>--</w:t>
            </w:r>
          </w:p>
        </w:tc>
        <w:tc>
          <w:tcPr>
            <w:tcW w:w="1657" w:type="pct"/>
            <w:vAlign w:val="center"/>
          </w:tcPr>
          <w:p>
            <w:pPr>
              <w:widowControl/>
              <w:snapToGrid w:val="0"/>
              <w:spacing w:line="240" w:lineRule="auto"/>
              <w:jc w:val="left"/>
              <w:rPr>
                <w:rFonts w:hint="eastAsia" w:ascii="宋体" w:hAnsi="宋体" w:eastAsia="仿宋" w:cs="仿宋"/>
                <w:sz w:val="24"/>
                <w:szCs w:val="24"/>
                <w:lang w:eastAsia="zh-CN"/>
              </w:rPr>
            </w:pPr>
            <w:r>
              <w:rPr>
                <w:rFonts w:hint="eastAsia" w:ascii="宋体" w:hAnsi="宋体" w:eastAsia="仿宋" w:cs="仿宋"/>
                <w:kern w:val="0"/>
                <w:sz w:val="24"/>
                <w:szCs w:val="24"/>
              </w:rPr>
              <w:t>删除，不需要那么细化，在各专业评定标准中再去说</w:t>
            </w:r>
            <w:r>
              <w:rPr>
                <w:rFonts w:hint="eastAsia" w:ascii="宋体" w:hAnsi="宋体" w:eastAsia="仿宋" w:cs="仿宋"/>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68</w:t>
            </w:r>
          </w:p>
        </w:tc>
        <w:tc>
          <w:tcPr>
            <w:tcW w:w="1550" w:type="pct"/>
            <w:vAlign w:val="center"/>
          </w:tcPr>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 xml:space="preserve">    5.3.2.2.7从事特种作业、特种设备作业的人员应按照有关规定，经专门安全作业培训，考核合格，取得相应资格后，方可上岗作业，并定期接受复审。</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9.2安全资格</w:t>
            </w:r>
            <w:r>
              <w:rPr>
                <w:rFonts w:hint="eastAsia" w:ascii="宋体" w:hAnsi="宋体" w:eastAsia="仿宋" w:cs="仿宋"/>
                <w:sz w:val="24"/>
              </w:rPr>
              <w:br w:type="textWrapping"/>
            </w:r>
            <w:r>
              <w:rPr>
                <w:rFonts w:hint="eastAsia" w:ascii="宋体" w:hAnsi="宋体" w:eastAsia="仿宋" w:cs="仿宋"/>
                <w:sz w:val="24"/>
              </w:rPr>
              <w:t>企业应明确从业人员安全资格要求，确保从业人员取得与岗位相适应的任职资格，包括</w:t>
            </w:r>
            <w:r>
              <w:rPr>
                <w:rFonts w:hint="eastAsia" w:ascii="宋体" w:hAnsi="宋体" w:eastAsia="仿宋" w:cs="仿宋"/>
                <w:sz w:val="24"/>
                <w:shd w:val="clear" w:color="auto" w:fill="FFFFFF"/>
              </w:rPr>
              <w:t>：</w:t>
            </w:r>
          </w:p>
          <w:p>
            <w:pPr>
              <w:snapToGrid w:val="0"/>
              <w:spacing w:line="240" w:lineRule="auto"/>
              <w:rPr>
                <w:rFonts w:hint="eastAsia" w:ascii="宋体" w:hAnsi="宋体" w:eastAsia="仿宋" w:cs="仿宋"/>
                <w:sz w:val="24"/>
              </w:rPr>
            </w:pPr>
            <w:r>
              <w:rPr>
                <w:rFonts w:hint="eastAsia" w:ascii="宋体" w:hAnsi="宋体" w:eastAsia="仿宋" w:cs="仿宋"/>
                <w:sz w:val="24"/>
              </w:rPr>
              <w:t>a</w:t>
            </w:r>
            <w:r>
              <w:rPr>
                <w:rFonts w:hint="eastAsia" w:ascii="宋体" w:hAnsi="宋体" w:eastAsia="仿宋" w:cs="仿宋"/>
                <w:sz w:val="24"/>
                <w:shd w:val="clear" w:color="auto" w:fill="FFFFFF"/>
              </w:rPr>
              <w:t>)</w:t>
            </w:r>
            <w:r>
              <w:rPr>
                <w:rFonts w:hint="eastAsia" w:ascii="宋体" w:hAnsi="宋体" w:eastAsia="仿宋" w:cs="仿宋"/>
                <w:sz w:val="24"/>
              </w:rPr>
              <w:t>主要负责人、安全生产管理人员、特种作业人员等应按规定持证上岗；</w:t>
            </w:r>
          </w:p>
        </w:tc>
        <w:tc>
          <w:tcPr>
            <w:tcW w:w="1657" w:type="pct"/>
            <w:vAlign w:val="center"/>
          </w:tcPr>
          <w:p>
            <w:pPr>
              <w:widowControl/>
              <w:snapToGrid w:val="0"/>
              <w:spacing w:line="240" w:lineRule="auto"/>
              <w:jc w:val="left"/>
              <w:rPr>
                <w:rFonts w:hint="eastAsia" w:ascii="宋体" w:hAnsi="宋体" w:eastAsia="仿宋" w:cs="仿宋"/>
                <w:sz w:val="24"/>
                <w:szCs w:val="24"/>
                <w:lang w:eastAsia="zh-CN"/>
              </w:rPr>
            </w:pPr>
            <w:r>
              <w:rPr>
                <w:rFonts w:hint="eastAsia" w:ascii="宋体" w:hAnsi="宋体" w:eastAsia="仿宋" w:cs="仿宋"/>
                <w:kern w:val="0"/>
                <w:sz w:val="24"/>
                <w:szCs w:val="24"/>
              </w:rPr>
              <w:t>6.2里面已经高度归纳了此项内容</w:t>
            </w:r>
            <w:r>
              <w:rPr>
                <w:rFonts w:hint="eastAsia" w:ascii="宋体" w:hAnsi="宋体" w:eastAsia="仿宋" w:cs="仿宋"/>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69</w:t>
            </w:r>
          </w:p>
        </w:tc>
        <w:tc>
          <w:tcPr>
            <w:tcW w:w="1550" w:type="pct"/>
            <w:vAlign w:val="center"/>
          </w:tcPr>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 xml:space="preserve">    5.3.2.2.8企业专职应急救援人员应按照有关规定，经专</w:t>
            </w:r>
            <w:r>
              <w:rPr>
                <w:rFonts w:hint="eastAsia" w:ascii="宋体" w:hAnsi="宋体" w:eastAsia="仿宋" w:cs="仿宋"/>
                <w:sz w:val="24"/>
                <w:szCs w:val="24"/>
                <w:shd w:val="clear" w:fill="FFFFFF"/>
              </w:rPr>
              <w:t>门</w:t>
            </w:r>
            <w:r>
              <w:rPr>
                <w:rFonts w:hint="eastAsia" w:ascii="宋体" w:hAnsi="宋体" w:eastAsia="仿宋" w:cs="仿宋"/>
                <w:sz w:val="24"/>
                <w:szCs w:val="24"/>
              </w:rPr>
              <w:t>应急救援培训，考核合格后，方可上岗，并定期参加复训。</w:t>
            </w:r>
          </w:p>
        </w:tc>
        <w:tc>
          <w:tcPr>
            <w:tcW w:w="1535" w:type="pct"/>
            <w:vAlign w:val="center"/>
          </w:tcPr>
          <w:p>
            <w:pPr>
              <w:widowControl/>
              <w:snapToGrid w:val="0"/>
              <w:spacing w:line="240" w:lineRule="auto"/>
              <w:rPr>
                <w:rFonts w:hint="eastAsia" w:ascii="宋体" w:hAnsi="宋体" w:eastAsia="仿宋" w:cs="仿宋"/>
                <w:sz w:val="24"/>
                <w:szCs w:val="24"/>
              </w:rPr>
            </w:pPr>
            <w:r>
              <w:rPr>
                <w:rFonts w:hint="eastAsia" w:ascii="宋体" w:hAnsi="宋体" w:eastAsia="仿宋" w:cs="仿宋"/>
                <w:sz w:val="24"/>
                <w:szCs w:val="24"/>
              </w:rPr>
              <w:t>--</w:t>
            </w:r>
          </w:p>
        </w:tc>
        <w:tc>
          <w:tcPr>
            <w:tcW w:w="1657" w:type="pct"/>
            <w:vAlign w:val="center"/>
          </w:tcPr>
          <w:p>
            <w:pPr>
              <w:widowControl/>
              <w:snapToGrid w:val="0"/>
              <w:spacing w:line="240" w:lineRule="auto"/>
              <w:jc w:val="left"/>
              <w:rPr>
                <w:rFonts w:hint="eastAsia" w:ascii="宋体" w:hAnsi="宋体" w:eastAsia="仿宋" w:cs="仿宋"/>
                <w:sz w:val="24"/>
                <w:szCs w:val="24"/>
                <w:lang w:eastAsia="zh-CN"/>
              </w:rPr>
            </w:pPr>
            <w:r>
              <w:rPr>
                <w:rFonts w:hint="eastAsia" w:ascii="宋体" w:hAnsi="宋体" w:eastAsia="仿宋" w:cs="仿宋"/>
                <w:kern w:val="0"/>
                <w:sz w:val="24"/>
                <w:szCs w:val="24"/>
              </w:rPr>
              <w:t>删除，不需要那么细化，在各专业评定标准中再去说</w:t>
            </w:r>
            <w:r>
              <w:rPr>
                <w:rFonts w:hint="eastAsia" w:ascii="宋体" w:hAnsi="宋体" w:eastAsia="仿宋" w:cs="仿宋"/>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70</w:t>
            </w:r>
          </w:p>
        </w:tc>
        <w:tc>
          <w:tcPr>
            <w:tcW w:w="1550" w:type="pct"/>
            <w:vAlign w:val="bottom"/>
          </w:tcPr>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 xml:space="preserve">    5.3.2.2.9其他从业人员每年应接受再培训，再培训时间和内容应符合国家和地方政府的有关规定。</w:t>
            </w:r>
          </w:p>
        </w:tc>
        <w:tc>
          <w:tcPr>
            <w:tcW w:w="1535" w:type="pct"/>
            <w:vAlign w:val="center"/>
          </w:tcPr>
          <w:p>
            <w:pPr>
              <w:widowControl/>
              <w:snapToGrid w:val="0"/>
              <w:spacing w:line="240" w:lineRule="auto"/>
              <w:rPr>
                <w:rFonts w:hint="eastAsia" w:ascii="宋体" w:hAnsi="宋体" w:eastAsia="仿宋" w:cs="仿宋"/>
                <w:sz w:val="24"/>
                <w:szCs w:val="24"/>
              </w:rPr>
            </w:pPr>
            <w:r>
              <w:rPr>
                <w:rFonts w:hint="eastAsia" w:ascii="宋体" w:hAnsi="宋体" w:eastAsia="仿宋" w:cs="仿宋"/>
                <w:sz w:val="24"/>
                <w:szCs w:val="24"/>
              </w:rPr>
              <w:t>--</w:t>
            </w:r>
          </w:p>
        </w:tc>
        <w:tc>
          <w:tcPr>
            <w:tcW w:w="1657" w:type="pct"/>
            <w:vAlign w:val="center"/>
          </w:tcPr>
          <w:p>
            <w:pPr>
              <w:widowControl/>
              <w:snapToGrid w:val="0"/>
              <w:spacing w:line="240" w:lineRule="auto"/>
              <w:jc w:val="left"/>
              <w:rPr>
                <w:rFonts w:hint="eastAsia" w:ascii="宋体" w:hAnsi="宋体" w:eastAsia="仿宋" w:cs="仿宋"/>
                <w:sz w:val="24"/>
                <w:szCs w:val="24"/>
                <w:lang w:eastAsia="zh-CN"/>
              </w:rPr>
            </w:pPr>
            <w:r>
              <w:rPr>
                <w:rFonts w:hint="eastAsia" w:ascii="宋体" w:hAnsi="宋体" w:eastAsia="仿宋" w:cs="仿宋"/>
                <w:kern w:val="0"/>
                <w:sz w:val="24"/>
                <w:szCs w:val="24"/>
              </w:rPr>
              <w:t>删除，不需要那么细化，在各专业评定标准中再去说</w:t>
            </w:r>
            <w:r>
              <w:rPr>
                <w:rFonts w:hint="eastAsia" w:ascii="宋体" w:hAnsi="宋体" w:eastAsia="仿宋" w:cs="仿宋"/>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71</w:t>
            </w:r>
          </w:p>
        </w:tc>
        <w:tc>
          <w:tcPr>
            <w:tcW w:w="1550" w:type="pct"/>
            <w:vAlign w:val="center"/>
          </w:tcPr>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5.3.2.3.1企业应对进入企业从事服务和作业活动的承包商、供应商的从业人员和接收的中等职业学校、高等学校实习生，进行入厂（矿）安全教育培训，并保存记录。</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9.3.2组织实施</w:t>
            </w:r>
            <w:r>
              <w:rPr>
                <w:rFonts w:hint="eastAsia" w:ascii="宋体" w:hAnsi="宋体" w:eastAsia="仿宋" w:cs="仿宋"/>
                <w:sz w:val="24"/>
              </w:rPr>
              <w:br w:type="textWrapping"/>
            </w:r>
            <w:r>
              <w:rPr>
                <w:rFonts w:hint="eastAsia" w:ascii="宋体" w:hAnsi="宋体" w:eastAsia="仿宋" w:cs="仿宋"/>
                <w:sz w:val="24"/>
              </w:rPr>
              <w:t>应对从业人员、相关方人员等进行相应的安全培训，安全培训内容、学时、方式等满足法定要求。</w:t>
            </w:r>
          </w:p>
        </w:tc>
        <w:tc>
          <w:tcPr>
            <w:tcW w:w="1657" w:type="pct"/>
            <w:vAlign w:val="center"/>
          </w:tcPr>
          <w:p>
            <w:pPr>
              <w:widowControl/>
              <w:snapToGrid w:val="0"/>
              <w:spacing w:line="240" w:lineRule="auto"/>
              <w:jc w:val="left"/>
              <w:rPr>
                <w:rFonts w:hint="eastAsia" w:ascii="宋体" w:hAnsi="宋体" w:eastAsia="仿宋" w:cs="仿宋"/>
                <w:sz w:val="24"/>
                <w:szCs w:val="24"/>
                <w:lang w:eastAsia="zh-CN"/>
              </w:rPr>
            </w:pPr>
            <w:r>
              <w:rPr>
                <w:rFonts w:hint="eastAsia" w:ascii="宋体" w:hAnsi="宋体" w:eastAsia="仿宋" w:cs="仿宋"/>
                <w:kern w:val="0"/>
                <w:sz w:val="24"/>
                <w:szCs w:val="24"/>
              </w:rPr>
              <w:t>内容与原文保持一致，更加精练</w:t>
            </w:r>
            <w:r>
              <w:rPr>
                <w:rFonts w:hint="eastAsia" w:ascii="宋体" w:hAnsi="宋体" w:eastAsia="仿宋" w:cs="仿宋"/>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72</w:t>
            </w:r>
          </w:p>
        </w:tc>
        <w:tc>
          <w:tcPr>
            <w:tcW w:w="1550" w:type="pct"/>
            <w:vAlign w:val="center"/>
          </w:tcPr>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5.3.2.3.2外来人员进入作业现场前，应由作业现场所在单位对其进行安全教育培训，并保存记录。主要内容包括：外来人员入厂（矿）有关安全规定、可能接触到的危害因素、所从事作业的安全要求、作业安全风险分析及安全控制措施、职业病危害防护措施、应急知识等。</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9.3.2组织实施</w:t>
            </w:r>
            <w:r>
              <w:rPr>
                <w:rFonts w:hint="eastAsia" w:ascii="宋体" w:hAnsi="宋体" w:eastAsia="仿宋" w:cs="仿宋"/>
                <w:sz w:val="24"/>
              </w:rPr>
              <w:br w:type="textWrapping"/>
            </w:r>
            <w:r>
              <w:rPr>
                <w:rFonts w:hint="eastAsia" w:ascii="宋体" w:hAnsi="宋体" w:eastAsia="仿宋" w:cs="仿宋"/>
                <w:sz w:val="24"/>
              </w:rPr>
              <w:t>应对从业人员、相关方人员等进行相应的安全培训，安全培训内容、学时、方式等满足法定要求。</w:t>
            </w:r>
          </w:p>
        </w:tc>
        <w:tc>
          <w:tcPr>
            <w:tcW w:w="1657" w:type="pct"/>
            <w:vAlign w:val="center"/>
          </w:tcPr>
          <w:p>
            <w:pPr>
              <w:widowControl/>
              <w:snapToGrid w:val="0"/>
              <w:spacing w:line="240" w:lineRule="auto"/>
              <w:jc w:val="left"/>
              <w:rPr>
                <w:rFonts w:hint="eastAsia" w:ascii="宋体" w:hAnsi="宋体" w:eastAsia="仿宋" w:cs="仿宋"/>
                <w:sz w:val="24"/>
                <w:szCs w:val="24"/>
                <w:lang w:eastAsia="zh-CN"/>
              </w:rPr>
            </w:pPr>
            <w:r>
              <w:rPr>
                <w:rFonts w:hint="eastAsia" w:ascii="宋体" w:hAnsi="宋体" w:eastAsia="仿宋" w:cs="仿宋"/>
                <w:kern w:val="0"/>
                <w:sz w:val="24"/>
                <w:szCs w:val="24"/>
              </w:rPr>
              <w:t>包含在这句话内容之中</w:t>
            </w:r>
            <w:r>
              <w:rPr>
                <w:rFonts w:hint="eastAsia" w:ascii="宋体" w:hAnsi="宋体" w:eastAsia="仿宋" w:cs="仿宋"/>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73</w:t>
            </w:r>
          </w:p>
        </w:tc>
        <w:tc>
          <w:tcPr>
            <w:tcW w:w="1550" w:type="pct"/>
            <w:vAlign w:val="center"/>
          </w:tcPr>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5.3.2.3.3企业应对进入企业检查、参观、学习等外来人员进行安全教育，主要内容包括：安全规定、可能接触到的危险有害因素、职业病危害防护措施、应急知识等。</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10.6.3 其他外来人员</w:t>
            </w:r>
            <w:r>
              <w:rPr>
                <w:rFonts w:hint="eastAsia" w:ascii="宋体" w:hAnsi="宋体" w:eastAsia="仿宋" w:cs="仿宋"/>
                <w:sz w:val="24"/>
              </w:rPr>
              <w:br w:type="textWrapping"/>
            </w:r>
            <w:r>
              <w:rPr>
                <w:rFonts w:hint="eastAsia" w:ascii="宋体" w:hAnsi="宋体" w:eastAsia="仿宋" w:cs="仿宋"/>
                <w:sz w:val="24"/>
              </w:rPr>
              <w:t>企业应明确进入企业检查、参观、学习等外来人员的管理要求</w:t>
            </w:r>
            <w:r>
              <w:rPr>
                <w:rFonts w:hint="eastAsia" w:ascii="宋体" w:hAnsi="宋体" w:eastAsia="仿宋" w:cs="仿宋"/>
                <w:sz w:val="24"/>
                <w:shd w:val="clear" w:color="auto" w:fill="FFFFFF"/>
                <w:lang w:eastAsia="zh-CN"/>
              </w:rPr>
              <w:t>，</w:t>
            </w:r>
            <w:r>
              <w:rPr>
                <w:rFonts w:hint="eastAsia" w:ascii="宋体" w:hAnsi="宋体" w:eastAsia="仿宋" w:cs="仿宋"/>
                <w:sz w:val="24"/>
              </w:rPr>
              <w:t>并通过适宜方式对进入生产作业场所的人员进行安全风险告知。</w:t>
            </w:r>
          </w:p>
        </w:tc>
        <w:tc>
          <w:tcPr>
            <w:tcW w:w="1657" w:type="pct"/>
            <w:vAlign w:val="center"/>
          </w:tcPr>
          <w:p>
            <w:pPr>
              <w:widowControl/>
              <w:snapToGrid w:val="0"/>
              <w:spacing w:line="240" w:lineRule="auto"/>
              <w:jc w:val="left"/>
              <w:rPr>
                <w:rFonts w:hint="eastAsia" w:ascii="宋体" w:hAnsi="宋体" w:eastAsia="仿宋" w:cs="仿宋"/>
                <w:sz w:val="24"/>
                <w:szCs w:val="24"/>
                <w:lang w:eastAsia="zh-CN"/>
              </w:rPr>
            </w:pPr>
            <w:r>
              <w:rPr>
                <w:rFonts w:hint="eastAsia" w:ascii="宋体" w:hAnsi="宋体" w:eastAsia="仿宋" w:cs="仿宋"/>
                <w:kern w:val="0"/>
                <w:sz w:val="24"/>
                <w:szCs w:val="24"/>
              </w:rPr>
              <w:t>放到10.6.3，且参观人员只需要进行风险告知即可</w:t>
            </w:r>
            <w:r>
              <w:rPr>
                <w:rFonts w:hint="eastAsia" w:ascii="宋体" w:hAnsi="宋体" w:eastAsia="仿宋" w:cs="仿宋"/>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74</w:t>
            </w:r>
          </w:p>
        </w:tc>
        <w:tc>
          <w:tcPr>
            <w:tcW w:w="1550" w:type="pct"/>
            <w:vAlign w:val="center"/>
          </w:tcPr>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企业应依法合理进行生产作业组织和管理</w:t>
            </w:r>
            <w:r>
              <w:rPr>
                <w:rFonts w:hint="eastAsia" w:ascii="宋体" w:hAnsi="宋体" w:eastAsia="仿宋" w:cs="仿宋"/>
                <w:sz w:val="24"/>
                <w:szCs w:val="24"/>
                <w:shd w:val="clear" w:fill="FFFFFF"/>
              </w:rPr>
              <w:t>，</w:t>
            </w:r>
            <w:r>
              <w:rPr>
                <w:rFonts w:hint="eastAsia" w:ascii="宋体" w:hAnsi="宋体" w:eastAsia="仿宋" w:cs="仿宋"/>
                <w:sz w:val="24"/>
                <w:szCs w:val="24"/>
              </w:rPr>
              <w:t>加强对从业人员作业行为的安全管理</w:t>
            </w:r>
            <w:r>
              <w:rPr>
                <w:rFonts w:hint="eastAsia" w:ascii="宋体" w:hAnsi="宋体" w:eastAsia="仿宋" w:cs="仿宋"/>
                <w:sz w:val="24"/>
                <w:szCs w:val="24"/>
                <w:shd w:val="clear" w:fill="FFFFFF"/>
              </w:rPr>
              <w:t>，</w:t>
            </w:r>
            <w:r>
              <w:rPr>
                <w:rFonts w:hint="eastAsia" w:ascii="宋体" w:hAnsi="宋体" w:eastAsia="仿宋" w:cs="仿宋"/>
                <w:sz w:val="24"/>
                <w:szCs w:val="24"/>
              </w:rPr>
              <w:t>对设备设施、工艺技术以及从业人员作业行为等进行安全风险辨识</w:t>
            </w:r>
            <w:r>
              <w:rPr>
                <w:rFonts w:hint="eastAsia" w:ascii="宋体" w:hAnsi="宋体" w:eastAsia="仿宋" w:cs="仿宋"/>
                <w:sz w:val="24"/>
                <w:szCs w:val="24"/>
                <w:shd w:val="clear" w:fill="FFFFFF"/>
              </w:rPr>
              <w:t>，</w:t>
            </w:r>
            <w:r>
              <w:rPr>
                <w:rFonts w:hint="eastAsia" w:ascii="宋体" w:hAnsi="宋体" w:eastAsia="仿宋" w:cs="仿宋"/>
                <w:sz w:val="24"/>
                <w:szCs w:val="24"/>
              </w:rPr>
              <w:t>采取相应的措施</w:t>
            </w:r>
            <w:r>
              <w:rPr>
                <w:rFonts w:hint="eastAsia" w:ascii="宋体" w:hAnsi="宋体" w:eastAsia="仿宋" w:cs="仿宋"/>
                <w:sz w:val="24"/>
                <w:szCs w:val="24"/>
                <w:shd w:val="clear" w:fill="FFFFFF"/>
              </w:rPr>
              <w:t>，</w:t>
            </w:r>
            <w:r>
              <w:rPr>
                <w:rFonts w:hint="eastAsia" w:ascii="宋体" w:hAnsi="宋体" w:eastAsia="仿宋" w:cs="仿宋"/>
                <w:sz w:val="24"/>
                <w:szCs w:val="24"/>
              </w:rPr>
              <w:t>控制作业行为安全风险。</w:t>
            </w:r>
          </w:p>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企业应监督、指导从业人员遵守安全生产和职业卫生规章制度、操作规程</w:t>
            </w:r>
            <w:r>
              <w:rPr>
                <w:rFonts w:hint="eastAsia" w:ascii="宋体" w:hAnsi="宋体" w:eastAsia="仿宋" w:cs="仿宋"/>
                <w:sz w:val="24"/>
                <w:szCs w:val="24"/>
                <w:shd w:val="clear" w:fill="FFFFFF"/>
              </w:rPr>
              <w:t>，</w:t>
            </w:r>
            <w:r>
              <w:rPr>
                <w:rFonts w:hint="eastAsia" w:ascii="宋体" w:hAnsi="宋体" w:eastAsia="仿宋" w:cs="仿宋"/>
                <w:sz w:val="24"/>
                <w:szCs w:val="24"/>
              </w:rPr>
              <w:t>杜绝违章指挥、违规作业和违反劳动纪律的“三违”行为。</w:t>
            </w:r>
          </w:p>
          <w:p>
            <w:pPr>
              <w:widowControl/>
              <w:snapToGrid w:val="0"/>
              <w:spacing w:line="240" w:lineRule="auto"/>
              <w:rPr>
                <w:rFonts w:hint="eastAsia" w:ascii="宋体" w:hAnsi="宋体" w:eastAsia="仿宋" w:cs="仿宋"/>
                <w:sz w:val="24"/>
                <w:szCs w:val="24"/>
                <w:lang w:eastAsia="zh-CN"/>
              </w:rPr>
            </w:pPr>
            <w:r>
              <w:rPr>
                <w:rFonts w:hint="eastAsia" w:ascii="宋体" w:hAnsi="宋体" w:eastAsia="仿宋" w:cs="仿宋"/>
                <w:sz w:val="24"/>
                <w:szCs w:val="24"/>
              </w:rPr>
              <w:t>企业应为从业人员配备与岗位安全风险相适应的、符合GB/T11651规定的个体防护装备与用品并监督、指导从业人员按照有关规定正确佩戴、使用、维护、保养和检查个体防护装备与用品</w:t>
            </w:r>
            <w:r>
              <w:rPr>
                <w:rFonts w:hint="eastAsia" w:ascii="宋体" w:hAnsi="宋体" w:eastAsia="仿宋" w:cs="仿宋"/>
                <w:sz w:val="24"/>
                <w:szCs w:val="24"/>
                <w:lang w:eastAsia="zh-CN"/>
              </w:rPr>
              <w:t>。</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9.4.1 行为规范</w:t>
            </w:r>
          </w:p>
          <w:p>
            <w:pPr>
              <w:snapToGrid w:val="0"/>
              <w:spacing w:line="240" w:lineRule="auto"/>
              <w:rPr>
                <w:rFonts w:hint="eastAsia" w:ascii="宋体" w:hAnsi="宋体" w:eastAsia="仿宋" w:cs="仿宋"/>
                <w:sz w:val="24"/>
              </w:rPr>
            </w:pPr>
            <w:r>
              <w:rPr>
                <w:rFonts w:hint="eastAsia" w:ascii="宋体" w:hAnsi="宋体" w:eastAsia="仿宋" w:cs="仿宋"/>
                <w:sz w:val="24"/>
              </w:rPr>
              <w:t>企业应加强对从业人员作业行为的安全管理，明确作业步骤、作业内容、作业标准、安全风险管控措施等内容，指导从业人员规范作业。</w:t>
            </w:r>
          </w:p>
        </w:tc>
        <w:tc>
          <w:tcPr>
            <w:tcW w:w="1657" w:type="pct"/>
            <w:vAlign w:val="center"/>
          </w:tcPr>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对标准内容调整了表述，保持全文语气的一致性；删除“对设备设施、工艺技术以及从业人员作业行为等进行安全风险辨识</w:t>
            </w:r>
            <w:r>
              <w:rPr>
                <w:rFonts w:hint="eastAsia" w:ascii="宋体" w:hAnsi="宋体" w:eastAsia="仿宋" w:cs="仿宋"/>
                <w:sz w:val="24"/>
                <w:szCs w:val="24"/>
                <w:shd w:val="clear" w:fill="FFFFFF"/>
              </w:rPr>
              <w:t>，</w:t>
            </w:r>
            <w:r>
              <w:rPr>
                <w:rFonts w:hint="eastAsia" w:ascii="宋体" w:hAnsi="宋体" w:eastAsia="仿宋" w:cs="仿宋"/>
                <w:sz w:val="24"/>
                <w:szCs w:val="24"/>
              </w:rPr>
              <w:t>采取相应的措施</w:t>
            </w:r>
            <w:r>
              <w:rPr>
                <w:rFonts w:hint="eastAsia" w:ascii="宋体" w:hAnsi="宋体" w:eastAsia="仿宋" w:cs="仿宋"/>
                <w:sz w:val="24"/>
                <w:szCs w:val="24"/>
                <w:shd w:val="clear" w:fill="FFFFFF"/>
              </w:rPr>
              <w:t>，</w:t>
            </w:r>
            <w:r>
              <w:rPr>
                <w:rFonts w:hint="eastAsia" w:ascii="宋体" w:hAnsi="宋体" w:eastAsia="仿宋" w:cs="仿宋"/>
                <w:sz w:val="24"/>
                <w:szCs w:val="24"/>
              </w:rPr>
              <w:t>控制作业行为安全风险”，执行风险分级管控的统一规定。</w:t>
            </w:r>
          </w:p>
          <w:p>
            <w:pPr>
              <w:snapToGrid w:val="0"/>
              <w:spacing w:line="240" w:lineRule="auto"/>
              <w:rPr>
                <w:rFonts w:hint="eastAsia" w:ascii="宋体" w:hAnsi="宋体" w:eastAsia="仿宋" w:cs="仿宋"/>
                <w:sz w:val="24"/>
                <w:szCs w:val="24"/>
              </w:rPr>
            </w:pPr>
          </w:p>
          <w:p>
            <w:pPr>
              <w:snapToGrid w:val="0"/>
              <w:spacing w:line="240" w:lineRule="auto"/>
              <w:rPr>
                <w:rFonts w:hint="eastAsia" w:ascii="宋体" w:hAnsi="宋体" w:eastAsia="仿宋" w:cs="仿宋"/>
                <w:sz w:val="24"/>
                <w:szCs w:val="24"/>
                <w:lang w:eastAsia="zh-CN"/>
              </w:rPr>
            </w:pPr>
            <w:r>
              <w:rPr>
                <w:rFonts w:hint="eastAsia" w:ascii="宋体" w:hAnsi="宋体" w:eastAsia="仿宋" w:cs="仿宋"/>
                <w:sz w:val="24"/>
                <w:szCs w:val="24"/>
              </w:rPr>
              <w:t>删除企业应监督、指导从业人员遵守安全生产和职业卫生规章制度、操作规程</w:t>
            </w:r>
            <w:r>
              <w:rPr>
                <w:rFonts w:hint="eastAsia" w:ascii="宋体" w:hAnsi="宋体" w:eastAsia="仿宋" w:cs="仿宋"/>
                <w:sz w:val="24"/>
                <w:szCs w:val="24"/>
                <w:shd w:val="clear" w:fill="FFFFFF"/>
              </w:rPr>
              <w:t>，</w:t>
            </w:r>
            <w:r>
              <w:rPr>
                <w:rFonts w:hint="eastAsia" w:ascii="宋体" w:hAnsi="宋体" w:eastAsia="仿宋" w:cs="仿宋"/>
                <w:sz w:val="24"/>
                <w:szCs w:val="24"/>
              </w:rPr>
              <w:t>杜绝违章指挥、违规作业和违反劳动纪律的“三违”行为的规定，细化行为观察、安全行为激励和不安全行为管控</w:t>
            </w:r>
            <w:r>
              <w:rPr>
                <w:rFonts w:hint="eastAsia" w:ascii="宋体" w:hAnsi="宋体" w:eastAsia="仿宋" w:cs="仿宋"/>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75</w:t>
            </w:r>
          </w:p>
        </w:tc>
        <w:tc>
          <w:tcPr>
            <w:tcW w:w="1550" w:type="pct"/>
            <w:vAlign w:val="center"/>
          </w:tcPr>
          <w:p>
            <w:pPr>
              <w:snapToGrid w:val="0"/>
              <w:spacing w:line="240" w:lineRule="auto"/>
              <w:rPr>
                <w:rFonts w:hint="eastAsia" w:ascii="宋体" w:hAnsi="宋体" w:eastAsia="仿宋" w:cs="仿宋"/>
                <w:sz w:val="24"/>
                <w:szCs w:val="24"/>
              </w:rPr>
            </w:pP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9.4.2 行为观察</w:t>
            </w:r>
          </w:p>
          <w:p>
            <w:pPr>
              <w:snapToGrid w:val="0"/>
              <w:spacing w:line="240" w:lineRule="auto"/>
              <w:rPr>
                <w:rFonts w:hint="eastAsia" w:ascii="宋体" w:hAnsi="宋体" w:eastAsia="仿宋" w:cs="仿宋"/>
                <w:sz w:val="24"/>
              </w:rPr>
            </w:pPr>
            <w:r>
              <w:rPr>
                <w:rFonts w:hint="eastAsia" w:ascii="宋体" w:hAnsi="宋体" w:eastAsia="仿宋" w:cs="仿宋"/>
                <w:sz w:val="24"/>
              </w:rPr>
              <w:t>企业应明确行为观察的对象、内容、流程等管理要求，依据操作规程、作业标准等开展从业人员行为观察，重点对从事新岗位、使用新工艺和新设备、不安全行为次数较多等人员进行行为观察。</w:t>
            </w:r>
          </w:p>
          <w:p>
            <w:pPr>
              <w:snapToGrid w:val="0"/>
              <w:spacing w:line="240" w:lineRule="auto"/>
              <w:rPr>
                <w:rFonts w:hint="eastAsia" w:ascii="宋体" w:hAnsi="宋体" w:eastAsia="仿宋" w:cs="仿宋"/>
                <w:sz w:val="24"/>
              </w:rPr>
            </w:pPr>
            <w:r>
              <w:rPr>
                <w:rFonts w:hint="eastAsia" w:ascii="宋体" w:hAnsi="宋体" w:eastAsia="仿宋" w:cs="仿宋"/>
                <w:sz w:val="24"/>
              </w:rPr>
              <w:t>行为观察内容包括：</w:t>
            </w:r>
          </w:p>
          <w:p>
            <w:pPr>
              <w:snapToGrid w:val="0"/>
              <w:spacing w:line="240" w:lineRule="auto"/>
              <w:rPr>
                <w:rFonts w:hint="eastAsia" w:ascii="宋体" w:hAnsi="宋体" w:eastAsia="仿宋" w:cs="仿宋"/>
                <w:sz w:val="24"/>
              </w:rPr>
            </w:pPr>
            <w:r>
              <w:rPr>
                <w:rFonts w:hint="eastAsia" w:ascii="宋体" w:hAnsi="宋体" w:eastAsia="仿宋" w:cs="仿宋"/>
                <w:sz w:val="24"/>
              </w:rPr>
              <w:t>a</w:t>
            </w:r>
            <w:r>
              <w:rPr>
                <w:rFonts w:hint="eastAsia" w:ascii="宋体" w:hAnsi="宋体" w:eastAsia="仿宋" w:cs="仿宋"/>
                <w:sz w:val="24"/>
                <w:shd w:val="clear" w:color="auto" w:fill="FFFFFF"/>
              </w:rPr>
              <w:t>)</w:t>
            </w:r>
            <w:r>
              <w:rPr>
                <w:rFonts w:hint="eastAsia" w:ascii="宋体" w:hAnsi="宋体" w:eastAsia="仿宋" w:cs="仿宋"/>
                <w:sz w:val="24"/>
              </w:rPr>
              <w:t>从业人员反应；</w:t>
            </w:r>
          </w:p>
          <w:p>
            <w:pPr>
              <w:snapToGrid w:val="0"/>
              <w:spacing w:line="240" w:lineRule="auto"/>
              <w:rPr>
                <w:rFonts w:hint="eastAsia" w:ascii="宋体" w:hAnsi="宋体" w:eastAsia="仿宋" w:cs="仿宋"/>
                <w:sz w:val="24"/>
              </w:rPr>
            </w:pPr>
            <w:r>
              <w:rPr>
                <w:rFonts w:hint="eastAsia" w:ascii="宋体" w:hAnsi="宋体" w:eastAsia="仿宋" w:cs="仿宋"/>
                <w:sz w:val="24"/>
              </w:rPr>
              <w:t>b</w:t>
            </w:r>
            <w:r>
              <w:rPr>
                <w:rFonts w:hint="eastAsia" w:ascii="宋体" w:hAnsi="宋体" w:eastAsia="仿宋" w:cs="仿宋"/>
                <w:sz w:val="24"/>
                <w:shd w:val="clear" w:color="auto" w:fill="FFFFFF"/>
              </w:rPr>
              <w:t>)</w:t>
            </w:r>
            <w:r>
              <w:rPr>
                <w:rFonts w:hint="eastAsia" w:ascii="宋体" w:hAnsi="宋体" w:eastAsia="仿宋" w:cs="仿宋"/>
                <w:sz w:val="24"/>
              </w:rPr>
              <w:t>从业人员站位；</w:t>
            </w:r>
          </w:p>
          <w:p>
            <w:pPr>
              <w:snapToGrid w:val="0"/>
              <w:spacing w:line="240" w:lineRule="auto"/>
              <w:rPr>
                <w:rFonts w:hint="eastAsia" w:ascii="宋体" w:hAnsi="宋体" w:eastAsia="仿宋" w:cs="仿宋"/>
                <w:sz w:val="24"/>
              </w:rPr>
            </w:pPr>
            <w:r>
              <w:rPr>
                <w:rFonts w:hint="eastAsia" w:ascii="宋体" w:hAnsi="宋体" w:eastAsia="仿宋" w:cs="仿宋"/>
                <w:sz w:val="24"/>
              </w:rPr>
              <w:t>c</w:t>
            </w:r>
            <w:r>
              <w:rPr>
                <w:rFonts w:hint="eastAsia" w:ascii="宋体" w:hAnsi="宋体" w:eastAsia="仿宋" w:cs="仿宋"/>
                <w:sz w:val="24"/>
                <w:shd w:val="clear" w:color="auto" w:fill="FFFFFF"/>
              </w:rPr>
              <w:t>)</w:t>
            </w:r>
            <w:r>
              <w:rPr>
                <w:rFonts w:hint="eastAsia" w:ascii="宋体" w:hAnsi="宋体" w:eastAsia="仿宋" w:cs="仿宋"/>
                <w:sz w:val="24"/>
              </w:rPr>
              <w:t>个体防护；</w:t>
            </w:r>
          </w:p>
          <w:p>
            <w:pPr>
              <w:snapToGrid w:val="0"/>
              <w:spacing w:line="240" w:lineRule="auto"/>
              <w:rPr>
                <w:rFonts w:hint="eastAsia" w:ascii="宋体" w:hAnsi="宋体" w:eastAsia="仿宋" w:cs="仿宋"/>
                <w:sz w:val="24"/>
              </w:rPr>
            </w:pPr>
            <w:r>
              <w:rPr>
                <w:rFonts w:hint="eastAsia" w:ascii="宋体" w:hAnsi="宋体" w:eastAsia="仿宋" w:cs="仿宋"/>
                <w:sz w:val="24"/>
              </w:rPr>
              <w:t>d</w:t>
            </w:r>
            <w:r>
              <w:rPr>
                <w:rFonts w:hint="eastAsia" w:ascii="宋体" w:hAnsi="宋体" w:eastAsia="仿宋" w:cs="仿宋"/>
                <w:sz w:val="24"/>
                <w:shd w:val="clear" w:color="auto" w:fill="FFFFFF"/>
              </w:rPr>
              <w:t>)</w:t>
            </w:r>
            <w:r>
              <w:rPr>
                <w:rFonts w:hint="eastAsia" w:ascii="宋体" w:hAnsi="宋体" w:eastAsia="仿宋" w:cs="仿宋"/>
                <w:sz w:val="24"/>
              </w:rPr>
              <w:t>工具和设备；</w:t>
            </w:r>
          </w:p>
          <w:p>
            <w:pPr>
              <w:snapToGrid w:val="0"/>
              <w:spacing w:line="240" w:lineRule="auto"/>
              <w:rPr>
                <w:rFonts w:hint="eastAsia" w:ascii="宋体" w:hAnsi="宋体" w:eastAsia="仿宋" w:cs="仿宋"/>
                <w:sz w:val="24"/>
              </w:rPr>
            </w:pPr>
            <w:r>
              <w:rPr>
                <w:rFonts w:hint="eastAsia" w:ascii="宋体" w:hAnsi="宋体" w:eastAsia="仿宋" w:cs="仿宋"/>
                <w:sz w:val="24"/>
              </w:rPr>
              <w:t>e</w:t>
            </w:r>
            <w:r>
              <w:rPr>
                <w:rFonts w:hint="eastAsia" w:ascii="宋体" w:hAnsi="宋体" w:eastAsia="仿宋" w:cs="仿宋"/>
                <w:sz w:val="24"/>
                <w:shd w:val="clear" w:color="auto" w:fill="FFFFFF"/>
              </w:rPr>
              <w:t>)</w:t>
            </w:r>
            <w:r>
              <w:rPr>
                <w:rFonts w:hint="eastAsia" w:ascii="宋体" w:hAnsi="宋体" w:eastAsia="仿宋" w:cs="仿宋"/>
                <w:sz w:val="24"/>
              </w:rPr>
              <w:t>作业或操作步骤；</w:t>
            </w:r>
          </w:p>
          <w:p>
            <w:pPr>
              <w:snapToGrid w:val="0"/>
              <w:spacing w:line="240" w:lineRule="auto"/>
              <w:rPr>
                <w:rFonts w:hint="eastAsia" w:ascii="宋体" w:hAnsi="宋体" w:eastAsia="仿宋" w:cs="仿宋"/>
                <w:sz w:val="24"/>
              </w:rPr>
            </w:pPr>
            <w:r>
              <w:rPr>
                <w:rFonts w:hint="eastAsia" w:ascii="宋体" w:hAnsi="宋体" w:eastAsia="仿宋" w:cs="仿宋"/>
                <w:sz w:val="24"/>
              </w:rPr>
              <w:t>f</w:t>
            </w:r>
            <w:r>
              <w:rPr>
                <w:rFonts w:hint="eastAsia" w:ascii="宋体" w:hAnsi="宋体" w:eastAsia="仿宋" w:cs="仿宋"/>
                <w:sz w:val="24"/>
                <w:shd w:val="clear" w:color="auto" w:fill="FFFFFF"/>
              </w:rPr>
              <w:t>)</w:t>
            </w:r>
            <w:r>
              <w:rPr>
                <w:rFonts w:hint="eastAsia" w:ascii="宋体" w:hAnsi="宋体" w:eastAsia="仿宋" w:cs="仿宋"/>
                <w:sz w:val="24"/>
              </w:rPr>
              <w:t>人机工效；</w:t>
            </w:r>
          </w:p>
          <w:p>
            <w:pPr>
              <w:snapToGrid w:val="0"/>
              <w:spacing w:line="240" w:lineRule="auto"/>
              <w:rPr>
                <w:rFonts w:hint="eastAsia" w:ascii="宋体" w:hAnsi="宋体" w:eastAsia="仿宋" w:cs="仿宋"/>
                <w:sz w:val="24"/>
              </w:rPr>
            </w:pPr>
            <w:r>
              <w:rPr>
                <w:rFonts w:hint="eastAsia" w:ascii="宋体" w:hAnsi="宋体" w:eastAsia="仿宋" w:cs="仿宋"/>
                <w:sz w:val="24"/>
              </w:rPr>
              <w:t>g</w:t>
            </w:r>
            <w:r>
              <w:rPr>
                <w:rFonts w:hint="eastAsia" w:ascii="宋体" w:hAnsi="宋体" w:eastAsia="仿宋" w:cs="仿宋"/>
                <w:sz w:val="24"/>
                <w:shd w:val="clear" w:color="auto" w:fill="FFFFFF"/>
              </w:rPr>
              <w:t>)</w:t>
            </w:r>
            <w:r>
              <w:rPr>
                <w:rFonts w:hint="eastAsia" w:ascii="宋体" w:hAnsi="宋体" w:eastAsia="仿宋" w:cs="仿宋"/>
                <w:sz w:val="24"/>
              </w:rPr>
              <w:t>作业环境。</w:t>
            </w:r>
          </w:p>
          <w:p>
            <w:pPr>
              <w:snapToGrid w:val="0"/>
              <w:spacing w:line="240" w:lineRule="auto"/>
              <w:rPr>
                <w:rFonts w:hint="eastAsia" w:ascii="宋体" w:hAnsi="宋体" w:eastAsia="仿宋" w:cs="仿宋"/>
                <w:sz w:val="24"/>
              </w:rPr>
            </w:pPr>
            <w:r>
              <w:rPr>
                <w:rFonts w:hint="eastAsia" w:ascii="宋体" w:hAnsi="宋体" w:eastAsia="仿宋" w:cs="仿宋"/>
                <w:sz w:val="24"/>
              </w:rPr>
              <w:t>行为观察后，应与被观察人员进行沟通，表扬安全行为，告知不规范行为及其潜在的安全风险。</w:t>
            </w:r>
          </w:p>
          <w:p>
            <w:pPr>
              <w:snapToGrid w:val="0"/>
              <w:spacing w:line="240" w:lineRule="auto"/>
              <w:rPr>
                <w:rFonts w:hint="eastAsia" w:ascii="宋体" w:hAnsi="宋体" w:eastAsia="仿宋" w:cs="仿宋"/>
                <w:sz w:val="24"/>
              </w:rPr>
            </w:pPr>
            <w:r>
              <w:rPr>
                <w:rFonts w:hint="eastAsia" w:ascii="宋体" w:hAnsi="宋体" w:eastAsia="仿宋" w:cs="仿宋"/>
                <w:sz w:val="24"/>
              </w:rPr>
              <w:t>企业应定期对行为观察情况进行统计分析，通过对工艺技术、设备设施、作业环境等方面进行改进，从根源上预防不安全行为的发生。</w:t>
            </w:r>
          </w:p>
        </w:tc>
        <w:tc>
          <w:tcPr>
            <w:tcW w:w="1657" w:type="pct"/>
            <w:vAlign w:val="center"/>
          </w:tcPr>
          <w:p>
            <w:pPr>
              <w:widowControl/>
              <w:spacing w:line="240" w:lineRule="auto"/>
              <w:jc w:val="left"/>
              <w:rPr>
                <w:rFonts w:hint="eastAsia" w:ascii="宋体" w:hAnsi="宋体" w:eastAsia="仿宋" w:cs="仿宋"/>
                <w:sz w:val="24"/>
                <w:szCs w:val="24"/>
              </w:rPr>
            </w:pPr>
            <w:r>
              <w:rPr>
                <w:rFonts w:hint="eastAsia" w:ascii="宋体" w:hAnsi="宋体" w:eastAsia="仿宋" w:cs="仿宋"/>
                <w:sz w:val="24"/>
                <w:szCs w:val="24"/>
              </w:rPr>
              <w:t>参考《国务院安委会办公室关于全面加强企业全员安全生产责任制工作的通知》（六）加强落实企业全员安全生产责任制的考核管理。企业要建立健全安全生产责任制管理考核制度，对全员安全生产责任制落实情况进行考核管理。要健全激励约束机制，通过奖励主动落实、全面落实责任，惩处不落实责任、部分落实责任，不断激发全员参与安全生产工作的积极性和主动性，形成良好的安全文化氛围。</w:t>
            </w:r>
          </w:p>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《企业安全文化建设导则》（AQ/T 9004-2008）条款5.3 企业组织在审查自身安全绩效时，除使用事故发生率等消极指标外，还应使用旨在对安全绩效给予直接认可的积极指标。企业组织宜建立员工安全绩效评估系统，应建立将安全绩效与工作业绩相结合的奖励制度。企业组织宜在组织内部树立安全榜样或典范，营造安全行为和安全态度的示范效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76</w:t>
            </w:r>
          </w:p>
        </w:tc>
        <w:tc>
          <w:tcPr>
            <w:tcW w:w="1550" w:type="pct"/>
            <w:vAlign w:val="center"/>
          </w:tcPr>
          <w:p>
            <w:pPr>
              <w:widowControl/>
              <w:snapToGrid w:val="0"/>
              <w:spacing w:line="240" w:lineRule="auto"/>
              <w:rPr>
                <w:rFonts w:hint="eastAsia" w:ascii="宋体" w:hAnsi="宋体" w:eastAsia="仿宋" w:cs="仿宋"/>
                <w:sz w:val="24"/>
                <w:szCs w:val="24"/>
              </w:rPr>
            </w:pPr>
            <w:r>
              <w:rPr>
                <w:rFonts w:hint="eastAsia" w:ascii="宋体" w:hAnsi="宋体" w:eastAsia="仿宋" w:cs="仿宋"/>
                <w:sz w:val="24"/>
                <w:szCs w:val="24"/>
              </w:rPr>
              <w:t>--</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9.4.3 安全行为激励</w:t>
            </w:r>
          </w:p>
          <w:p>
            <w:pPr>
              <w:snapToGrid w:val="0"/>
              <w:spacing w:line="240" w:lineRule="auto"/>
              <w:rPr>
                <w:rFonts w:hint="eastAsia" w:ascii="宋体" w:hAnsi="宋体" w:eastAsia="仿宋" w:cs="仿宋"/>
                <w:sz w:val="24"/>
              </w:rPr>
            </w:pPr>
            <w:r>
              <w:rPr>
                <w:rFonts w:hint="eastAsia" w:ascii="宋体" w:hAnsi="宋体" w:eastAsia="仿宋" w:cs="仿宋"/>
                <w:sz w:val="24"/>
              </w:rPr>
              <w:t>企业应对从业人员在安全生产工作中的积极行为进行表彰奖励，引导从业人员养成良好的安全行为习惯。</w:t>
            </w:r>
          </w:p>
        </w:tc>
        <w:tc>
          <w:tcPr>
            <w:tcW w:w="1657" w:type="pct"/>
            <w:vAlign w:val="center"/>
          </w:tcPr>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参考《化工过程安全管理导则》（AQ/T 3034-2022）</w:t>
            </w:r>
          </w:p>
          <w:p>
            <w:pPr>
              <w:snapToGrid w:val="0"/>
              <w:spacing w:line="240" w:lineRule="auto"/>
              <w:rPr>
                <w:rFonts w:hint="eastAsia" w:ascii="宋体" w:hAnsi="宋体" w:eastAsia="仿宋" w:cs="仿宋"/>
                <w:sz w:val="24"/>
                <w:szCs w:val="24"/>
                <w:lang w:eastAsia="zh-CN"/>
              </w:rPr>
            </w:pPr>
            <w:r>
              <w:rPr>
                <w:rFonts w:hint="eastAsia" w:ascii="宋体" w:hAnsi="宋体" w:eastAsia="仿宋" w:cs="仿宋"/>
                <w:sz w:val="24"/>
                <w:szCs w:val="24"/>
              </w:rPr>
              <w:t>条款4.19.7 企业应建立并持续完善安全行为规范及约束机制</w:t>
            </w:r>
            <w:r>
              <w:rPr>
                <w:rFonts w:hint="eastAsia" w:ascii="宋体" w:hAnsi="宋体" w:eastAsia="仿宋" w:cs="仿宋"/>
                <w:sz w:val="24"/>
                <w:szCs w:val="24"/>
                <w:shd w:val="clear" w:fill="FFFFFF"/>
              </w:rPr>
              <w:t>，</w:t>
            </w:r>
            <w:r>
              <w:rPr>
                <w:rFonts w:hint="eastAsia" w:ascii="宋体" w:hAnsi="宋体" w:eastAsia="仿宋" w:cs="仿宋"/>
                <w:sz w:val="24"/>
                <w:szCs w:val="24"/>
              </w:rPr>
              <w:t>建立不安全行为清单</w:t>
            </w:r>
            <w:r>
              <w:rPr>
                <w:rFonts w:hint="eastAsia" w:ascii="宋体" w:hAnsi="宋体" w:eastAsia="仿宋" w:cs="仿宋"/>
                <w:sz w:val="24"/>
                <w:szCs w:val="24"/>
                <w:shd w:val="clear" w:fill="FFFFFF"/>
              </w:rPr>
              <w:t>，</w:t>
            </w:r>
            <w:r>
              <w:rPr>
                <w:rFonts w:hint="eastAsia" w:ascii="宋体" w:hAnsi="宋体" w:eastAsia="仿宋" w:cs="仿宋"/>
                <w:sz w:val="24"/>
                <w:szCs w:val="24"/>
              </w:rPr>
              <w:t>建立员工间相互提醒、相互监督的安全行为规范模式，持续减少直至杜绝不安全行为</w:t>
            </w:r>
            <w:r>
              <w:rPr>
                <w:rFonts w:hint="eastAsia" w:ascii="宋体" w:hAnsi="宋体" w:eastAsia="仿宋" w:cs="仿宋"/>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77</w:t>
            </w:r>
          </w:p>
        </w:tc>
        <w:tc>
          <w:tcPr>
            <w:tcW w:w="1550" w:type="pct"/>
            <w:vAlign w:val="center"/>
          </w:tcPr>
          <w:p>
            <w:pPr>
              <w:widowControl/>
              <w:snapToGrid w:val="0"/>
              <w:spacing w:line="240" w:lineRule="auto"/>
              <w:rPr>
                <w:rFonts w:hint="eastAsia" w:ascii="宋体" w:hAnsi="宋体" w:eastAsia="仿宋" w:cs="仿宋"/>
                <w:sz w:val="24"/>
                <w:szCs w:val="24"/>
              </w:rPr>
            </w:pPr>
            <w:r>
              <w:rPr>
                <w:rFonts w:hint="eastAsia" w:ascii="宋体" w:hAnsi="宋体" w:eastAsia="仿宋" w:cs="仿宋"/>
                <w:sz w:val="24"/>
                <w:szCs w:val="24"/>
              </w:rPr>
              <w:t>--</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9.4.4 不安全行为管控</w:t>
            </w:r>
          </w:p>
          <w:p>
            <w:pPr>
              <w:snapToGrid w:val="0"/>
              <w:spacing w:line="240" w:lineRule="auto"/>
              <w:rPr>
                <w:rFonts w:hint="eastAsia" w:ascii="宋体" w:hAnsi="宋体" w:eastAsia="仿宋" w:cs="仿宋"/>
                <w:sz w:val="24"/>
              </w:rPr>
            </w:pPr>
            <w:r>
              <w:rPr>
                <w:rFonts w:hint="eastAsia" w:ascii="宋体" w:hAnsi="宋体" w:eastAsia="仿宋" w:cs="仿宋"/>
                <w:sz w:val="24"/>
              </w:rPr>
              <w:t>企业应明确不安全行为的分级分类、认定标准等内容。</w:t>
            </w:r>
          </w:p>
          <w:p>
            <w:pPr>
              <w:snapToGrid w:val="0"/>
              <w:spacing w:line="240" w:lineRule="auto"/>
              <w:rPr>
                <w:rFonts w:hint="eastAsia" w:ascii="宋体" w:hAnsi="宋体" w:eastAsia="仿宋" w:cs="仿宋"/>
                <w:sz w:val="24"/>
              </w:rPr>
            </w:pPr>
            <w:r>
              <w:rPr>
                <w:rFonts w:hint="eastAsia" w:ascii="宋体" w:hAnsi="宋体" w:eastAsia="仿宋" w:cs="仿宋"/>
                <w:sz w:val="24"/>
              </w:rPr>
              <w:t>应开展不安全行为监督，及时制止和纠正不安全行为，并进行教育、矫正。宜采用视频监控、自动识别等数智化手段监督不安全行为。</w:t>
            </w:r>
          </w:p>
          <w:p>
            <w:pPr>
              <w:snapToGrid w:val="0"/>
              <w:spacing w:line="240" w:lineRule="auto"/>
              <w:rPr>
                <w:rFonts w:hint="eastAsia" w:ascii="宋体" w:hAnsi="宋体" w:eastAsia="仿宋" w:cs="仿宋"/>
                <w:sz w:val="24"/>
              </w:rPr>
            </w:pPr>
            <w:r>
              <w:rPr>
                <w:rFonts w:hint="eastAsia" w:ascii="宋体" w:hAnsi="宋体" w:eastAsia="仿宋" w:cs="仿宋"/>
                <w:sz w:val="24"/>
              </w:rPr>
              <w:t>应定期对不安全行为进行统计分析，查找不安全行为发生的规律和深层次原因，制定防范措施。</w:t>
            </w:r>
          </w:p>
        </w:tc>
        <w:tc>
          <w:tcPr>
            <w:tcW w:w="1657" w:type="pct"/>
            <w:vAlign w:val="center"/>
          </w:tcPr>
          <w:p>
            <w:pPr>
              <w:snapToGrid w:val="0"/>
              <w:spacing w:line="240" w:lineRule="auto"/>
              <w:rPr>
                <w:rFonts w:hint="eastAsia" w:ascii="宋体" w:hAnsi="宋体" w:eastAsia="仿宋" w:cs="仿宋"/>
                <w:sz w:val="24"/>
                <w:szCs w:val="24"/>
              </w:rPr>
            </w:pPr>
            <w:r>
              <w:rPr>
                <w:rFonts w:hint="eastAsia" w:ascii="宋体" w:hAnsi="宋体" w:eastAsia="仿宋" w:cs="仿宋"/>
                <w:sz w:val="24"/>
                <w:szCs w:val="24"/>
              </w:rPr>
              <w:t>对原标准：“企业应监督、指导从业人员遵守安全生产和职业卫生规章制度、操作规程</w:t>
            </w:r>
            <w:r>
              <w:rPr>
                <w:rFonts w:hint="eastAsia" w:ascii="宋体" w:hAnsi="宋体" w:eastAsia="仿宋" w:cs="仿宋"/>
                <w:sz w:val="24"/>
                <w:szCs w:val="24"/>
                <w:shd w:val="clear" w:fill="FFFFFF"/>
              </w:rPr>
              <w:t>，</w:t>
            </w:r>
            <w:r>
              <w:rPr>
                <w:rFonts w:hint="eastAsia" w:ascii="宋体" w:hAnsi="宋体" w:eastAsia="仿宋" w:cs="仿宋"/>
                <w:sz w:val="24"/>
                <w:szCs w:val="24"/>
              </w:rPr>
              <w:t>杜绝违章指挥、违规作业和违反劳动纪律的</w:t>
            </w:r>
            <w:r>
              <w:rPr>
                <w:rFonts w:hint="eastAsia" w:ascii="宋体" w:hAnsi="宋体" w:eastAsia="仿宋" w:cs="仿宋"/>
                <w:sz w:val="24"/>
                <w:szCs w:val="24"/>
                <w:shd w:val="clear" w:color="auto" w:fill="FFFFFF"/>
                <w:lang w:eastAsia="zh-CN"/>
              </w:rPr>
              <w:t>‘</w:t>
            </w:r>
            <w:r>
              <w:rPr>
                <w:rFonts w:hint="eastAsia" w:ascii="宋体" w:hAnsi="宋体" w:eastAsia="仿宋" w:cs="仿宋"/>
                <w:sz w:val="24"/>
                <w:szCs w:val="24"/>
              </w:rPr>
              <w:t>三违</w:t>
            </w:r>
            <w:r>
              <w:rPr>
                <w:rFonts w:hint="eastAsia" w:ascii="宋体" w:hAnsi="宋体" w:eastAsia="仿宋" w:cs="仿宋"/>
                <w:sz w:val="24"/>
                <w:szCs w:val="24"/>
                <w:lang w:eastAsia="zh-CN"/>
              </w:rPr>
              <w:t>’</w:t>
            </w:r>
            <w:r>
              <w:rPr>
                <w:rFonts w:hint="eastAsia" w:ascii="宋体" w:hAnsi="宋体" w:eastAsia="仿宋" w:cs="仿宋"/>
                <w:sz w:val="24"/>
                <w:szCs w:val="24"/>
              </w:rPr>
              <w:t>行为”的表述进行了修改，提高可操作性，提出了在纠正的同时，还应该对不安全行为进行统计分析，查找不安全行为发生的规律和深层次原因，制定预防措施，避免同类不安全行为反复发生。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tabs>
                <w:tab w:val="left" w:pos="420"/>
              </w:tabs>
              <w:spacing w:line="240" w:lineRule="auto"/>
              <w:jc w:val="center"/>
              <w:rPr>
                <w:rFonts w:hint="eastAsia" w:ascii="宋体" w:hAnsi="宋体" w:eastAsia="仿宋" w:cs="仿宋"/>
                <w:sz w:val="24"/>
                <w:szCs w:val="24"/>
              </w:rPr>
            </w:pPr>
            <w:r>
              <w:rPr>
                <w:rFonts w:hint="eastAsia" w:ascii="宋体" w:hAnsi="宋体" w:eastAsia="仿宋" w:cs="仿宋"/>
                <w:sz w:val="24"/>
                <w:szCs w:val="24"/>
              </w:rPr>
              <w:t>78</w:t>
            </w:r>
          </w:p>
        </w:tc>
        <w:tc>
          <w:tcPr>
            <w:tcW w:w="1550" w:type="pct"/>
            <w:vAlign w:val="center"/>
          </w:tcPr>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企业应事先分析和控制生产过程及工艺、物料、设备设施、器材、通道、作业环境等存在的安全风险生产现场应实行定置管理</w:t>
            </w:r>
            <w:r>
              <w:rPr>
                <w:rFonts w:hint="eastAsia" w:ascii="宋体" w:hAnsi="宋体" w:eastAsia="仿宋" w:cs="仿宋"/>
                <w:sz w:val="24"/>
                <w:szCs w:val="24"/>
                <w:shd w:val="clear" w:fill="FFFFFF"/>
              </w:rPr>
              <w:t>，</w:t>
            </w:r>
            <w:r>
              <w:rPr>
                <w:rFonts w:hint="eastAsia" w:ascii="宋体" w:hAnsi="宋体" w:eastAsia="仿宋" w:cs="仿宋"/>
                <w:sz w:val="24"/>
                <w:szCs w:val="24"/>
              </w:rPr>
              <w:t>保持作业环境整洁。</w:t>
            </w:r>
          </w:p>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生产现场应配备相应的安全、职业病防护用品</w:t>
            </w:r>
            <w:r>
              <w:rPr>
                <w:rFonts w:hint="eastAsia" w:ascii="宋体" w:hAnsi="宋体" w:eastAsia="仿宋" w:cs="仿宋"/>
                <w:sz w:val="24"/>
                <w:szCs w:val="24"/>
                <w:shd w:val="clear" w:fill="FFFFFF"/>
                <w:lang w:eastAsia="zh-CN"/>
              </w:rPr>
              <w:t>（</w:t>
            </w:r>
            <w:r>
              <w:rPr>
                <w:rFonts w:hint="eastAsia" w:ascii="宋体" w:hAnsi="宋体" w:eastAsia="仿宋" w:cs="仿宋"/>
                <w:sz w:val="24"/>
                <w:szCs w:val="24"/>
              </w:rPr>
              <w:t>具</w:t>
            </w:r>
            <w:r>
              <w:rPr>
                <w:rFonts w:hint="eastAsia" w:ascii="宋体" w:hAnsi="宋体" w:eastAsia="仿宋" w:cs="仿宋"/>
                <w:sz w:val="24"/>
                <w:szCs w:val="24"/>
                <w:shd w:val="clear" w:fill="FFFFFF"/>
                <w:lang w:eastAsia="zh-CN"/>
              </w:rPr>
              <w:t>）</w:t>
            </w:r>
            <w:r>
              <w:rPr>
                <w:rFonts w:hint="eastAsia" w:ascii="宋体" w:hAnsi="宋体" w:eastAsia="仿宋" w:cs="仿宋"/>
                <w:sz w:val="24"/>
                <w:szCs w:val="24"/>
              </w:rPr>
              <w:t>及消防设施与器材</w:t>
            </w:r>
            <w:r>
              <w:rPr>
                <w:rFonts w:hint="eastAsia" w:ascii="宋体" w:hAnsi="宋体" w:eastAsia="仿宋" w:cs="仿宋"/>
                <w:sz w:val="24"/>
                <w:szCs w:val="24"/>
                <w:shd w:val="clear" w:fill="FFFFFF"/>
              </w:rPr>
              <w:t>，</w:t>
            </w:r>
            <w:r>
              <w:rPr>
                <w:rFonts w:hint="eastAsia" w:ascii="宋体" w:hAnsi="宋体" w:eastAsia="仿宋" w:cs="仿宋"/>
                <w:sz w:val="24"/>
                <w:szCs w:val="24"/>
              </w:rPr>
              <w:t>按照有关规定设置应急照明、安全通道</w:t>
            </w:r>
            <w:r>
              <w:rPr>
                <w:rFonts w:hint="eastAsia" w:ascii="宋体" w:hAnsi="宋体" w:eastAsia="仿宋" w:cs="仿宋"/>
                <w:sz w:val="24"/>
                <w:szCs w:val="24"/>
                <w:shd w:val="clear" w:fill="FFFFFF"/>
              </w:rPr>
              <w:t>，</w:t>
            </w:r>
            <w:r>
              <w:rPr>
                <w:rFonts w:hint="eastAsia" w:ascii="宋体" w:hAnsi="宋体" w:eastAsia="仿宋" w:cs="仿宋"/>
                <w:sz w:val="24"/>
                <w:szCs w:val="24"/>
              </w:rPr>
              <w:t>并确保安全通道畅通。</w:t>
            </w:r>
          </w:p>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企业应对作业人员的上岗资格、条件等进行作业前的安全检查</w:t>
            </w:r>
            <w:r>
              <w:rPr>
                <w:rFonts w:hint="eastAsia" w:ascii="宋体" w:hAnsi="宋体" w:eastAsia="仿宋" w:cs="仿宋"/>
                <w:sz w:val="24"/>
                <w:szCs w:val="24"/>
                <w:shd w:val="clear" w:fill="FFFFFF"/>
              </w:rPr>
              <w:t>，</w:t>
            </w:r>
            <w:r>
              <w:rPr>
                <w:rFonts w:hint="eastAsia" w:ascii="宋体" w:hAnsi="宋体" w:eastAsia="仿宋" w:cs="仿宋"/>
                <w:sz w:val="24"/>
                <w:szCs w:val="24"/>
              </w:rPr>
              <w:t>做到特种作业人员持证上岗</w:t>
            </w:r>
            <w:r>
              <w:rPr>
                <w:rFonts w:hint="eastAsia" w:ascii="宋体" w:hAnsi="宋体" w:eastAsia="仿宋" w:cs="仿宋"/>
                <w:sz w:val="24"/>
                <w:szCs w:val="24"/>
                <w:shd w:val="clear" w:fill="FFFFFF"/>
              </w:rPr>
              <w:t>，</w:t>
            </w:r>
            <w:r>
              <w:rPr>
                <w:rFonts w:hint="eastAsia" w:ascii="宋体" w:hAnsi="宋体" w:eastAsia="仿宋" w:cs="仿宋"/>
                <w:sz w:val="24"/>
                <w:szCs w:val="24"/>
              </w:rPr>
              <w:t>并安排专人进行现场安全管理</w:t>
            </w:r>
            <w:r>
              <w:rPr>
                <w:rFonts w:hint="eastAsia" w:ascii="宋体" w:hAnsi="宋体" w:eastAsia="仿宋" w:cs="仿宋"/>
                <w:sz w:val="24"/>
                <w:szCs w:val="24"/>
                <w:shd w:val="clear" w:fill="FFFFFF"/>
              </w:rPr>
              <w:t>，</w:t>
            </w:r>
            <w:r>
              <w:rPr>
                <w:rFonts w:hint="eastAsia" w:ascii="宋体" w:hAnsi="宋体" w:eastAsia="仿宋" w:cs="仿宋"/>
                <w:sz w:val="24"/>
                <w:szCs w:val="24"/>
              </w:rPr>
              <w:t>确保作业人员遵守岗位操作规程和落实安全及职业病危害防护措施。</w:t>
            </w:r>
          </w:p>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企业应采取可靠的安全技术措施</w:t>
            </w:r>
            <w:r>
              <w:rPr>
                <w:rFonts w:hint="eastAsia" w:ascii="宋体" w:hAnsi="宋体" w:eastAsia="仿宋" w:cs="仿宋"/>
                <w:sz w:val="24"/>
                <w:szCs w:val="24"/>
                <w:shd w:val="clear" w:fill="FFFFFF"/>
              </w:rPr>
              <w:t>，</w:t>
            </w:r>
            <w:r>
              <w:rPr>
                <w:rFonts w:hint="eastAsia" w:ascii="宋体" w:hAnsi="宋体" w:eastAsia="仿宋" w:cs="仿宋"/>
                <w:sz w:val="24"/>
                <w:szCs w:val="24"/>
              </w:rPr>
              <w:t>对设备能量和危险有害物质进行屏蔽或隔离。</w:t>
            </w:r>
          </w:p>
          <w:p>
            <w:pPr>
              <w:spacing w:line="240" w:lineRule="auto"/>
              <w:jc w:val="left"/>
              <w:rPr>
                <w:rFonts w:hint="eastAsia" w:ascii="宋体" w:hAnsi="宋体" w:eastAsia="仿宋" w:cs="仿宋"/>
                <w:sz w:val="24"/>
                <w:szCs w:val="24"/>
                <w:lang w:eastAsia="zh-CN"/>
              </w:rPr>
            </w:pPr>
            <w:r>
              <w:rPr>
                <w:rFonts w:hint="eastAsia" w:ascii="宋体" w:hAnsi="宋体" w:eastAsia="仿宋" w:cs="仿宋"/>
                <w:sz w:val="24"/>
                <w:szCs w:val="24"/>
              </w:rPr>
              <w:t>两个以上作业队伍在同一作业区域内进行作业活动时</w:t>
            </w:r>
            <w:r>
              <w:rPr>
                <w:rFonts w:hint="eastAsia" w:ascii="宋体" w:hAnsi="宋体" w:eastAsia="仿宋" w:cs="仿宋"/>
                <w:sz w:val="24"/>
                <w:szCs w:val="24"/>
                <w:shd w:val="clear" w:fill="FFFFFF"/>
              </w:rPr>
              <w:t>，</w:t>
            </w:r>
            <w:r>
              <w:rPr>
                <w:rFonts w:hint="eastAsia" w:ascii="宋体" w:hAnsi="宋体" w:eastAsia="仿宋" w:cs="仿宋"/>
                <w:sz w:val="24"/>
                <w:szCs w:val="24"/>
              </w:rPr>
              <w:t>不同作业队伍相互之间应签订管理协议</w:t>
            </w:r>
            <w:r>
              <w:rPr>
                <w:rFonts w:hint="eastAsia" w:ascii="宋体" w:hAnsi="宋体" w:eastAsia="仿宋" w:cs="仿宋"/>
                <w:sz w:val="24"/>
                <w:szCs w:val="24"/>
                <w:shd w:val="clear" w:fill="FFFFFF"/>
              </w:rPr>
              <w:t>，</w:t>
            </w:r>
            <w:r>
              <w:rPr>
                <w:rFonts w:hint="eastAsia" w:ascii="宋体" w:hAnsi="宋体" w:eastAsia="仿宋" w:cs="仿宋"/>
                <w:sz w:val="24"/>
                <w:szCs w:val="24"/>
              </w:rPr>
              <w:t>明确各自的安全生产、职业卫生管理职责和采取的有效措施</w:t>
            </w:r>
            <w:r>
              <w:rPr>
                <w:rFonts w:hint="eastAsia" w:ascii="宋体" w:hAnsi="宋体" w:eastAsia="仿宋" w:cs="仿宋"/>
                <w:sz w:val="24"/>
                <w:szCs w:val="24"/>
                <w:shd w:val="clear" w:fill="FFFFFF"/>
              </w:rPr>
              <w:t>，</w:t>
            </w:r>
            <w:r>
              <w:rPr>
                <w:rFonts w:hint="eastAsia" w:ascii="宋体" w:hAnsi="宋体" w:eastAsia="仿宋" w:cs="仿宋"/>
                <w:sz w:val="24"/>
                <w:szCs w:val="24"/>
              </w:rPr>
              <w:t>并指定专人进行检查与协调</w:t>
            </w:r>
            <w:r>
              <w:rPr>
                <w:rFonts w:hint="eastAsia" w:ascii="宋体" w:hAnsi="宋体" w:eastAsia="仿宋" w:cs="仿宋"/>
                <w:sz w:val="24"/>
                <w:szCs w:val="24"/>
                <w:lang w:eastAsia="zh-CN"/>
              </w:rPr>
              <w:t>。</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10.1 作业环境与条件</w:t>
            </w:r>
          </w:p>
          <w:p>
            <w:pPr>
              <w:snapToGrid w:val="0"/>
              <w:spacing w:line="240" w:lineRule="auto"/>
              <w:rPr>
                <w:rFonts w:hint="eastAsia" w:ascii="宋体" w:hAnsi="宋体" w:eastAsia="仿宋" w:cs="仿宋"/>
                <w:sz w:val="24"/>
              </w:rPr>
            </w:pPr>
            <w:r>
              <w:rPr>
                <w:rFonts w:hint="eastAsia" w:ascii="宋体" w:hAnsi="宋体" w:eastAsia="仿宋" w:cs="仿宋"/>
                <w:sz w:val="24"/>
              </w:rPr>
              <w:t>企业应根据行业要求和特点，推进安全生产管理标准化建设，实现岗位操作行为规范化、设备设施本质安全化、作业环境器具</w:t>
            </w:r>
            <w:r>
              <w:rPr>
                <w:rFonts w:hint="eastAsia" w:ascii="宋体" w:hAnsi="宋体" w:eastAsia="仿宋" w:cs="仿宋"/>
                <w:sz w:val="24"/>
                <w:shd w:val="clear" w:color="auto" w:fill="FFFFFF"/>
              </w:rPr>
              <w:t>定置化</w:t>
            </w:r>
            <w:r>
              <w:rPr>
                <w:rFonts w:hint="eastAsia" w:ascii="宋体" w:hAnsi="宋体" w:eastAsia="仿宋" w:cs="仿宋"/>
                <w:sz w:val="24"/>
              </w:rPr>
              <w:t>，并持续改进。</w:t>
            </w:r>
          </w:p>
          <w:p>
            <w:pPr>
              <w:snapToGrid w:val="0"/>
              <w:spacing w:line="240" w:lineRule="auto"/>
              <w:rPr>
                <w:rFonts w:hint="eastAsia" w:ascii="宋体" w:hAnsi="宋体" w:eastAsia="仿宋" w:cs="仿宋"/>
                <w:sz w:val="24"/>
              </w:rPr>
            </w:pPr>
            <w:r>
              <w:rPr>
                <w:rFonts w:hint="eastAsia" w:ascii="宋体" w:hAnsi="宋体" w:eastAsia="仿宋" w:cs="仿宋"/>
                <w:sz w:val="24"/>
              </w:rPr>
              <w:t>应明确生产活动所涉及的生产和服务的全过程，确保生产作业全过程符合规章制度和操作规程的要求。宜对生产作业进行监视、监测和控制，留有安全冗余。</w:t>
            </w:r>
          </w:p>
          <w:p>
            <w:pPr>
              <w:snapToGrid w:val="0"/>
              <w:spacing w:line="240" w:lineRule="auto"/>
              <w:rPr>
                <w:rFonts w:hint="eastAsia" w:ascii="宋体" w:hAnsi="宋体" w:eastAsia="仿宋" w:cs="仿宋"/>
                <w:sz w:val="24"/>
              </w:rPr>
            </w:pPr>
            <w:r>
              <w:rPr>
                <w:rFonts w:hint="eastAsia" w:ascii="宋体" w:hAnsi="宋体" w:eastAsia="仿宋" w:cs="仿宋"/>
                <w:sz w:val="24"/>
              </w:rPr>
              <w:t>应明确建（构）筑物、生产区域道路、安全标志标识、照明、通风等生产现场环境的管理要求，实行定置管理，保持作业环境整洁，创造文明有序的作业环境。</w:t>
            </w:r>
          </w:p>
          <w:p>
            <w:pPr>
              <w:snapToGrid w:val="0"/>
              <w:spacing w:line="240" w:lineRule="auto"/>
              <w:rPr>
                <w:rFonts w:hint="eastAsia" w:ascii="宋体" w:hAnsi="宋体" w:eastAsia="仿宋" w:cs="仿宋"/>
                <w:sz w:val="24"/>
              </w:rPr>
            </w:pPr>
            <w:r>
              <w:rPr>
                <w:rFonts w:hint="eastAsia" w:ascii="宋体" w:hAnsi="宋体" w:eastAsia="仿宋" w:cs="仿宋"/>
                <w:sz w:val="24"/>
              </w:rPr>
              <w:t>企业应建立消防安全的管理要求，明确火灾预防、消防组织、灭火救援、监督检查等内容，落实消防安全责任制。配备消防器材、消防设备设施，定期检查维护。</w:t>
            </w:r>
          </w:p>
          <w:p>
            <w:pPr>
              <w:snapToGrid w:val="0"/>
              <w:spacing w:line="240" w:lineRule="auto"/>
              <w:rPr>
                <w:rFonts w:hint="eastAsia" w:ascii="宋体" w:hAnsi="宋体" w:eastAsia="仿宋" w:cs="仿宋"/>
                <w:sz w:val="24"/>
              </w:rPr>
            </w:pPr>
            <w:r>
              <w:rPr>
                <w:rFonts w:hint="eastAsia" w:ascii="宋体" w:hAnsi="宋体" w:eastAsia="仿宋" w:cs="仿宋"/>
                <w:sz w:val="24"/>
              </w:rPr>
              <w:t>应建立职业健康的管理要求，采取措施消除和控制影响健康的危害因素，为从业人员提供安全健康的工作环境、劳动条件，以及个体防护装备与用品。</w:t>
            </w:r>
          </w:p>
        </w:tc>
        <w:tc>
          <w:tcPr>
            <w:tcW w:w="1657" w:type="pct"/>
            <w:vAlign w:val="center"/>
          </w:tcPr>
          <w:p>
            <w:pPr>
              <w:widowControl/>
              <w:autoSpaceDE w:val="0"/>
              <w:autoSpaceDN w:val="0"/>
              <w:spacing w:line="240" w:lineRule="auto"/>
              <w:rPr>
                <w:rFonts w:hint="eastAsia" w:ascii="宋体" w:hAnsi="宋体" w:eastAsia="仿宋" w:cs="仿宋"/>
                <w:sz w:val="24"/>
                <w:szCs w:val="24"/>
                <w:lang w:bidi="ar"/>
              </w:rPr>
            </w:pPr>
            <w:r>
              <w:rPr>
                <w:rFonts w:hint="eastAsia" w:ascii="宋体" w:hAnsi="宋体" w:eastAsia="仿宋" w:cs="仿宋"/>
                <w:sz w:val="24"/>
                <w:szCs w:val="24"/>
              </w:rPr>
              <w:t>调整结构，新增要素“一般要求”，将通用内容进行了规定，简化了职业健康、警示标志相关规定纳入一般要求中规定，调整语言，保持全文一致性。增加鼓励项条款，</w:t>
            </w:r>
            <w:r>
              <w:rPr>
                <w:rFonts w:hint="eastAsia" w:ascii="宋体" w:hAnsi="宋体" w:eastAsia="仿宋" w:cs="仿宋"/>
                <w:sz w:val="24"/>
                <w:szCs w:val="24"/>
                <w:lang w:bidi="ar"/>
              </w:rPr>
              <w:t>宜对生产作业进行监视、监测和控制，留有安全冗余。</w:t>
            </w:r>
          </w:p>
          <w:p>
            <w:pPr>
              <w:spacing w:line="240" w:lineRule="auto"/>
              <w:jc w:val="left"/>
              <w:rPr>
                <w:rFonts w:hint="eastAsia" w:ascii="宋体" w:hAnsi="宋体" w:eastAsia="仿宋" w:cs="仿宋"/>
                <w:sz w:val="24"/>
                <w:szCs w:val="24"/>
                <w:lang w:eastAsia="zh-CN"/>
              </w:rPr>
            </w:pPr>
            <w:r>
              <w:rPr>
                <w:rFonts w:hint="eastAsia" w:ascii="宋体" w:hAnsi="宋体" w:eastAsia="仿宋" w:cs="仿宋"/>
                <w:sz w:val="24"/>
                <w:szCs w:val="24"/>
              </w:rPr>
              <w:t>将“企业应对作业人员的上岗资格、条件等进行作业前的安全检查</w:t>
            </w:r>
            <w:r>
              <w:rPr>
                <w:rFonts w:hint="eastAsia" w:ascii="宋体" w:hAnsi="宋体" w:eastAsia="仿宋" w:cs="仿宋"/>
                <w:sz w:val="24"/>
                <w:szCs w:val="24"/>
                <w:shd w:val="clear" w:fill="FFFFFF"/>
              </w:rPr>
              <w:t>，</w:t>
            </w:r>
            <w:r>
              <w:rPr>
                <w:rFonts w:hint="eastAsia" w:ascii="宋体" w:hAnsi="宋体" w:eastAsia="仿宋" w:cs="仿宋"/>
                <w:sz w:val="24"/>
                <w:szCs w:val="24"/>
              </w:rPr>
              <w:t>做到特种作业人员持证上岗</w:t>
            </w:r>
            <w:r>
              <w:rPr>
                <w:rFonts w:hint="eastAsia" w:ascii="宋体" w:hAnsi="宋体" w:eastAsia="仿宋" w:cs="仿宋"/>
                <w:sz w:val="24"/>
                <w:szCs w:val="24"/>
                <w:shd w:val="clear" w:fill="FFFFFF"/>
              </w:rPr>
              <w:t>，</w:t>
            </w:r>
            <w:r>
              <w:rPr>
                <w:rFonts w:hint="eastAsia" w:ascii="宋体" w:hAnsi="宋体" w:eastAsia="仿宋" w:cs="仿宋"/>
                <w:sz w:val="24"/>
                <w:szCs w:val="24"/>
              </w:rPr>
              <w:t>并安排专人进行现场安全管理</w:t>
            </w:r>
            <w:r>
              <w:rPr>
                <w:rFonts w:hint="eastAsia" w:ascii="宋体" w:hAnsi="宋体" w:eastAsia="仿宋" w:cs="仿宋"/>
                <w:sz w:val="24"/>
                <w:szCs w:val="24"/>
                <w:shd w:val="clear" w:fill="FFFFFF"/>
              </w:rPr>
              <w:t>，</w:t>
            </w:r>
            <w:r>
              <w:rPr>
                <w:rFonts w:hint="eastAsia" w:ascii="宋体" w:hAnsi="宋体" w:eastAsia="仿宋" w:cs="仿宋"/>
                <w:sz w:val="24"/>
                <w:szCs w:val="24"/>
              </w:rPr>
              <w:t>确保作业人员遵守岗位操作规程和落实安全及职业病危害防护措施”内容调整至“9 人员管理”中进行规定</w:t>
            </w:r>
            <w:r>
              <w:rPr>
                <w:rFonts w:hint="eastAsia" w:ascii="宋体" w:hAnsi="宋体" w:eastAsia="仿宋" w:cs="仿宋"/>
                <w:sz w:val="24"/>
                <w:szCs w:val="24"/>
                <w:lang w:eastAsia="zh-CN"/>
              </w:rPr>
              <w:t>。</w:t>
            </w:r>
          </w:p>
          <w:p>
            <w:pPr>
              <w:pStyle w:val="12"/>
              <w:numPr>
                <w:ilvl w:val="0"/>
                <w:numId w:val="0"/>
              </w:numPr>
              <w:spacing w:line="240" w:lineRule="auto"/>
              <w:rPr>
                <w:rFonts w:hint="eastAsia" w:ascii="宋体" w:hAnsi="宋体" w:eastAsia="仿宋" w:cs="仿宋"/>
                <w:sz w:val="24"/>
                <w:szCs w:val="24"/>
              </w:rPr>
            </w:pPr>
          </w:p>
          <w:p>
            <w:pPr>
              <w:spacing w:line="240" w:lineRule="auto"/>
              <w:jc w:val="left"/>
              <w:rPr>
                <w:rFonts w:hint="eastAsia" w:ascii="宋体" w:hAnsi="宋体"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57" w:type="pct"/>
            <w:vAlign w:val="center"/>
          </w:tcPr>
          <w:p>
            <w:pPr>
              <w:spacing w:line="240" w:lineRule="auto"/>
              <w:jc w:val="center"/>
              <w:rPr>
                <w:rFonts w:hint="eastAsia" w:ascii="宋体" w:hAnsi="宋体" w:eastAsia="仿宋" w:cs="仿宋"/>
                <w:sz w:val="24"/>
                <w:szCs w:val="24"/>
              </w:rPr>
            </w:pPr>
            <w:r>
              <w:rPr>
                <w:rFonts w:hint="eastAsia" w:ascii="宋体" w:hAnsi="宋体" w:eastAsia="仿宋" w:cs="仿宋"/>
                <w:sz w:val="24"/>
                <w:szCs w:val="24"/>
              </w:rPr>
              <w:t>79</w:t>
            </w:r>
          </w:p>
        </w:tc>
        <w:tc>
          <w:tcPr>
            <w:tcW w:w="1550" w:type="pct"/>
            <w:vAlign w:val="center"/>
          </w:tcPr>
          <w:p>
            <w:pPr>
              <w:spacing w:line="240" w:lineRule="auto"/>
              <w:jc w:val="left"/>
              <w:rPr>
                <w:rFonts w:hint="eastAsia" w:ascii="宋体" w:hAnsi="宋体" w:eastAsia="仿宋" w:cs="仿宋"/>
                <w:sz w:val="24"/>
                <w:szCs w:val="24"/>
                <w:lang w:eastAsia="zh-CN"/>
              </w:rPr>
            </w:pPr>
            <w:r>
              <w:rPr>
                <w:rFonts w:hint="eastAsia" w:ascii="宋体" w:hAnsi="宋体" w:eastAsia="仿宋" w:cs="仿宋"/>
                <w:sz w:val="24"/>
                <w:szCs w:val="24"/>
              </w:rPr>
              <w:t>危险化学品生产、经营、储存和使用单位的特殊作业</w:t>
            </w:r>
            <w:r>
              <w:rPr>
                <w:rFonts w:hint="eastAsia" w:ascii="宋体" w:hAnsi="宋体" w:eastAsia="仿宋" w:cs="仿宋"/>
                <w:sz w:val="24"/>
                <w:szCs w:val="24"/>
                <w:shd w:val="clear" w:fill="FFFFFF"/>
              </w:rPr>
              <w:t>，</w:t>
            </w:r>
            <w:r>
              <w:rPr>
                <w:rFonts w:hint="eastAsia" w:ascii="宋体" w:hAnsi="宋体" w:eastAsia="仿宋" w:cs="仿宋"/>
                <w:sz w:val="24"/>
                <w:szCs w:val="24"/>
              </w:rPr>
              <w:t>应符合GB 30871的规定</w:t>
            </w:r>
            <w:r>
              <w:rPr>
                <w:rFonts w:hint="eastAsia" w:ascii="宋体" w:hAnsi="宋体" w:eastAsia="仿宋" w:cs="仿宋"/>
                <w:sz w:val="24"/>
                <w:szCs w:val="24"/>
                <w:lang w:eastAsia="zh-CN"/>
              </w:rPr>
              <w:t>。</w:t>
            </w:r>
          </w:p>
        </w:tc>
        <w:tc>
          <w:tcPr>
            <w:tcW w:w="1535" w:type="pct"/>
            <w:vAlign w:val="center"/>
          </w:tcPr>
          <w:p>
            <w:pPr>
              <w:spacing w:line="240" w:lineRule="auto"/>
              <w:rPr>
                <w:rFonts w:hint="eastAsia" w:ascii="宋体" w:hAnsi="宋体"/>
              </w:rPr>
            </w:pPr>
            <w:r>
              <w:rPr>
                <w:rFonts w:hint="eastAsia" w:ascii="宋体" w:hAnsi="宋体" w:eastAsia="仿宋" w:cs="仿宋"/>
                <w:sz w:val="24"/>
                <w:szCs w:val="24"/>
              </w:rPr>
              <w:t>--</w:t>
            </w:r>
          </w:p>
          <w:p>
            <w:pPr>
              <w:spacing w:line="240" w:lineRule="auto"/>
              <w:rPr>
                <w:rFonts w:hint="eastAsia" w:ascii="宋体" w:hAnsi="宋体"/>
              </w:rPr>
            </w:pPr>
          </w:p>
          <w:p>
            <w:pPr>
              <w:widowControl/>
              <w:autoSpaceDE w:val="0"/>
              <w:autoSpaceDN w:val="0"/>
              <w:spacing w:line="240" w:lineRule="auto"/>
              <w:rPr>
                <w:rFonts w:hint="eastAsia" w:ascii="宋体" w:hAnsi="宋体" w:eastAsia="仿宋" w:cs="仿宋"/>
                <w:sz w:val="24"/>
                <w:szCs w:val="24"/>
              </w:rPr>
            </w:pPr>
          </w:p>
        </w:tc>
        <w:tc>
          <w:tcPr>
            <w:tcW w:w="1657" w:type="pct"/>
            <w:vAlign w:val="center"/>
          </w:tcPr>
          <w:p>
            <w:pPr>
              <w:spacing w:line="240" w:lineRule="auto"/>
              <w:jc w:val="left"/>
              <w:rPr>
                <w:rFonts w:hint="eastAsia" w:ascii="宋体" w:hAnsi="宋体" w:eastAsia="仿宋" w:cs="仿宋"/>
                <w:sz w:val="24"/>
                <w:szCs w:val="24"/>
                <w:lang w:eastAsia="zh-CN"/>
              </w:rPr>
            </w:pPr>
            <w:r>
              <w:rPr>
                <w:rFonts w:hint="eastAsia" w:ascii="宋体" w:hAnsi="宋体" w:eastAsia="仿宋" w:cs="仿宋"/>
                <w:sz w:val="24"/>
                <w:szCs w:val="24"/>
              </w:rPr>
              <w:t>将原条款改为了三级要素，结合企业实际，扩展涉及危险化学品管理的</w:t>
            </w:r>
            <w:r>
              <w:rPr>
                <w:rFonts w:hint="eastAsia" w:ascii="宋体" w:hAnsi="宋体" w:eastAsia="仿宋" w:cs="仿宋"/>
                <w:sz w:val="24"/>
                <w:szCs w:val="24"/>
                <w:lang w:bidi="ar"/>
              </w:rPr>
              <w:t>企业范围，明确了具体工作，提高标准的可操作性</w:t>
            </w:r>
            <w:r>
              <w:rPr>
                <w:rFonts w:hint="eastAsia" w:ascii="宋体" w:hAnsi="宋体" w:eastAsia="仿宋" w:cs="仿宋"/>
                <w:sz w:val="24"/>
                <w:szCs w:val="24"/>
                <w:lang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spacing w:line="240" w:lineRule="auto"/>
              <w:jc w:val="center"/>
              <w:rPr>
                <w:rFonts w:hint="eastAsia" w:ascii="宋体" w:hAnsi="宋体" w:eastAsia="仿宋" w:cs="仿宋"/>
                <w:sz w:val="24"/>
                <w:szCs w:val="24"/>
              </w:rPr>
            </w:pPr>
            <w:r>
              <w:rPr>
                <w:rFonts w:hint="eastAsia" w:ascii="宋体" w:hAnsi="宋体" w:eastAsia="仿宋" w:cs="仿宋"/>
                <w:sz w:val="24"/>
                <w:szCs w:val="24"/>
              </w:rPr>
              <w:t>80</w:t>
            </w:r>
          </w:p>
        </w:tc>
        <w:tc>
          <w:tcPr>
            <w:tcW w:w="1550" w:type="pct"/>
            <w:vAlign w:val="center"/>
          </w:tcPr>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shd w:val="clear" w:color="auto" w:fill="FFFFFF"/>
              </w:rPr>
              <w:t xml:space="preserve">11 </w:t>
            </w:r>
            <w:r>
              <w:rPr>
                <w:rFonts w:hint="eastAsia" w:ascii="宋体" w:hAnsi="宋体" w:eastAsia="仿宋" w:cs="仿宋"/>
                <w:sz w:val="24"/>
              </w:rPr>
              <w:t>应急管理</w:t>
            </w:r>
            <w:r>
              <w:rPr>
                <w:rFonts w:hint="eastAsia" w:ascii="宋体" w:hAnsi="宋体" w:eastAsia="仿宋" w:cs="仿宋"/>
                <w:sz w:val="24"/>
              </w:rPr>
              <w:tab/>
            </w:r>
          </w:p>
          <w:p>
            <w:pPr>
              <w:snapToGrid w:val="0"/>
              <w:spacing w:line="240" w:lineRule="auto"/>
              <w:rPr>
                <w:rFonts w:hint="eastAsia" w:ascii="宋体" w:hAnsi="宋体" w:eastAsia="仿宋" w:cs="仿宋"/>
                <w:sz w:val="24"/>
              </w:rPr>
            </w:pPr>
            <w:r>
              <w:rPr>
                <w:rFonts w:hint="eastAsia" w:ascii="宋体" w:hAnsi="宋体" w:eastAsia="仿宋" w:cs="仿宋"/>
                <w:sz w:val="24"/>
              </w:rPr>
              <w:t>11.1 一般要求</w:t>
            </w:r>
          </w:p>
          <w:p>
            <w:pPr>
              <w:snapToGrid w:val="0"/>
              <w:spacing w:line="240" w:lineRule="auto"/>
              <w:rPr>
                <w:rFonts w:hint="eastAsia" w:ascii="宋体" w:hAnsi="宋体" w:eastAsia="仿宋" w:cs="仿宋"/>
                <w:sz w:val="24"/>
              </w:rPr>
            </w:pPr>
            <w:r>
              <w:rPr>
                <w:rFonts w:hint="eastAsia" w:ascii="宋体" w:hAnsi="宋体" w:eastAsia="仿宋" w:cs="仿宋"/>
                <w:sz w:val="24"/>
              </w:rPr>
              <w:t>应及时获取自然灾害预警预报信息，分析研判自然灾害对安全生产的影响和冲击，采取防范应对措施，重点对易受自然灾害危害的场所、区域开展隐患排查治理工作。</w:t>
            </w:r>
          </w:p>
        </w:tc>
        <w:tc>
          <w:tcPr>
            <w:tcW w:w="1657" w:type="pct"/>
            <w:vAlign w:val="center"/>
          </w:tcPr>
          <w:p>
            <w:pPr>
              <w:spacing w:line="240" w:lineRule="auto"/>
              <w:jc w:val="left"/>
              <w:rPr>
                <w:rFonts w:hint="eastAsia" w:ascii="宋体" w:hAnsi="宋体" w:eastAsia="仿宋" w:cs="仿宋"/>
                <w:sz w:val="24"/>
                <w:szCs w:val="24"/>
                <w:lang w:eastAsia="zh-CN"/>
              </w:rPr>
            </w:pPr>
            <w:r>
              <w:rPr>
                <w:rFonts w:hint="eastAsia" w:ascii="宋体" w:hAnsi="宋体" w:eastAsia="仿宋" w:cs="仿宋"/>
                <w:sz w:val="24"/>
                <w:szCs w:val="24"/>
              </w:rPr>
              <w:t>新增要素，参考《中华人民共和国突发事件应对法》，自然灾害通常具有突发性强、不确定性大、叠加性强、破坏性大等特点，给企业安全生产带来严峻挑战，明确了企业编制自然灾害应急预案、预警预报、采取措施防范、开展隐患排查治理的要求，提升自然灾害安全风险防控能力</w:t>
            </w:r>
            <w:r>
              <w:rPr>
                <w:rFonts w:hint="eastAsia" w:ascii="宋体" w:hAnsi="宋体" w:eastAsia="仿宋" w:cs="仿宋"/>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spacing w:line="240" w:lineRule="auto"/>
              <w:jc w:val="center"/>
              <w:rPr>
                <w:rFonts w:hint="eastAsia" w:ascii="宋体" w:hAnsi="宋体" w:eastAsia="仿宋" w:cs="仿宋"/>
                <w:sz w:val="24"/>
                <w:szCs w:val="24"/>
              </w:rPr>
            </w:pPr>
            <w:r>
              <w:rPr>
                <w:rFonts w:hint="eastAsia" w:ascii="宋体" w:hAnsi="宋体" w:eastAsia="仿宋" w:cs="仿宋"/>
                <w:sz w:val="24"/>
                <w:szCs w:val="24"/>
              </w:rPr>
              <w:t>81</w:t>
            </w:r>
          </w:p>
        </w:tc>
        <w:tc>
          <w:tcPr>
            <w:tcW w:w="1550" w:type="pct"/>
            <w:vAlign w:val="center"/>
          </w:tcPr>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10.2.1 一般要求</w:t>
            </w:r>
          </w:p>
          <w:p>
            <w:pPr>
              <w:snapToGrid w:val="0"/>
              <w:spacing w:line="240" w:lineRule="auto"/>
              <w:rPr>
                <w:rFonts w:hint="eastAsia" w:ascii="宋体" w:hAnsi="宋体" w:eastAsia="仿宋" w:cs="仿宋"/>
                <w:sz w:val="24"/>
              </w:rPr>
            </w:pPr>
            <w:r>
              <w:rPr>
                <w:rFonts w:hint="eastAsia" w:ascii="宋体" w:hAnsi="宋体" w:eastAsia="仿宋" w:cs="仿宋"/>
                <w:sz w:val="24"/>
              </w:rPr>
              <w:t>企业应明确设备设施采购、建设与验收、运行、检维修管理及作业、停用、拆除与报废等全生命周期的管理要求。</w:t>
            </w:r>
          </w:p>
          <w:p>
            <w:pPr>
              <w:snapToGrid w:val="0"/>
              <w:spacing w:line="240" w:lineRule="auto"/>
              <w:rPr>
                <w:rFonts w:hint="eastAsia" w:ascii="宋体" w:hAnsi="宋体" w:eastAsia="仿宋" w:cs="仿宋"/>
                <w:sz w:val="24"/>
              </w:rPr>
            </w:pPr>
            <w:r>
              <w:rPr>
                <w:rFonts w:hint="eastAsia" w:ascii="宋体" w:hAnsi="宋体" w:eastAsia="仿宋" w:cs="仿宋"/>
                <w:sz w:val="24"/>
              </w:rPr>
              <w:t>企业应按规定严格履行建设项目安全设施设计审查、施工、试运行、竣工验收等管理要求。</w:t>
            </w:r>
          </w:p>
          <w:p>
            <w:pPr>
              <w:snapToGrid w:val="0"/>
              <w:spacing w:line="240" w:lineRule="auto"/>
              <w:rPr>
                <w:rFonts w:hint="eastAsia" w:ascii="宋体" w:hAnsi="宋体" w:eastAsia="仿宋" w:cs="仿宋"/>
                <w:sz w:val="24"/>
              </w:rPr>
            </w:pPr>
            <w:r>
              <w:rPr>
                <w:rFonts w:hint="eastAsia" w:ascii="宋体" w:hAnsi="宋体" w:eastAsia="仿宋" w:cs="仿宋"/>
                <w:sz w:val="24"/>
              </w:rPr>
              <w:t>特种设备应委托具有专业资质的检测、检验机构进行定期检测、检验。</w:t>
            </w:r>
          </w:p>
        </w:tc>
        <w:tc>
          <w:tcPr>
            <w:tcW w:w="1657" w:type="pct"/>
            <w:vAlign w:val="center"/>
          </w:tcPr>
          <w:p>
            <w:pPr>
              <w:widowControl/>
              <w:spacing w:line="240" w:lineRule="auto"/>
              <w:jc w:val="left"/>
              <w:textAlignment w:val="center"/>
              <w:rPr>
                <w:rFonts w:hint="eastAsia" w:ascii="宋体" w:hAnsi="宋体" w:eastAsia="仿宋" w:cs="仿宋"/>
                <w:sz w:val="24"/>
                <w:szCs w:val="24"/>
                <w:lang w:eastAsia="zh-CN"/>
              </w:rPr>
            </w:pPr>
            <w:r>
              <w:rPr>
                <w:rFonts w:hint="eastAsia" w:ascii="宋体" w:hAnsi="宋体" w:eastAsia="仿宋" w:cs="仿宋"/>
                <w:sz w:val="24"/>
                <w:szCs w:val="24"/>
              </w:rPr>
              <w:t>增加条款，将设备的全生命周期、检测检验的管理要求放在一般规定里面</w:t>
            </w:r>
            <w:r>
              <w:rPr>
                <w:rFonts w:hint="eastAsia" w:ascii="宋体" w:hAnsi="宋体" w:eastAsia="仿宋" w:cs="仿宋"/>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spacing w:line="240" w:lineRule="auto"/>
              <w:jc w:val="center"/>
              <w:rPr>
                <w:rFonts w:hint="eastAsia" w:ascii="宋体" w:hAnsi="宋体" w:eastAsia="仿宋" w:cs="仿宋"/>
                <w:sz w:val="24"/>
                <w:szCs w:val="24"/>
              </w:rPr>
            </w:pPr>
            <w:r>
              <w:rPr>
                <w:rFonts w:hint="eastAsia" w:ascii="宋体" w:hAnsi="宋体" w:eastAsia="仿宋" w:cs="仿宋"/>
                <w:sz w:val="24"/>
                <w:szCs w:val="24"/>
              </w:rPr>
              <w:t>82</w:t>
            </w:r>
          </w:p>
        </w:tc>
        <w:tc>
          <w:tcPr>
            <w:tcW w:w="1550" w:type="pct"/>
            <w:vAlign w:val="center"/>
          </w:tcPr>
          <w:p>
            <w:pPr>
              <w:pStyle w:val="4"/>
              <w:spacing w:before="120" w:after="120" w:line="240" w:lineRule="auto"/>
              <w:rPr>
                <w:rFonts w:hint="eastAsia" w:ascii="宋体" w:hAnsi="宋体" w:eastAsia="仿宋" w:cs="仿宋"/>
                <w:b w:val="0"/>
                <w:bCs w:val="0"/>
                <w:sz w:val="24"/>
                <w:szCs w:val="24"/>
              </w:rPr>
            </w:pPr>
            <w:r>
              <w:rPr>
                <w:rFonts w:hint="eastAsia" w:ascii="宋体" w:hAnsi="宋体" w:eastAsia="仿宋" w:cs="仿宋"/>
                <w:b w:val="0"/>
                <w:bCs w:val="0"/>
                <w:sz w:val="24"/>
                <w:szCs w:val="24"/>
              </w:rPr>
              <w:t>5.4.1.1 设备设施建设</w:t>
            </w:r>
          </w:p>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企业总平面布置应符合GB 50187的规定</w:t>
            </w:r>
            <w:r>
              <w:rPr>
                <w:rFonts w:hint="eastAsia" w:ascii="宋体" w:hAnsi="宋体" w:eastAsia="仿宋" w:cs="仿宋"/>
                <w:sz w:val="24"/>
                <w:szCs w:val="24"/>
                <w:shd w:val="clear" w:fill="FFFFFF"/>
              </w:rPr>
              <w:t>，</w:t>
            </w:r>
            <w:r>
              <w:rPr>
                <w:rFonts w:hint="eastAsia" w:ascii="宋体" w:hAnsi="宋体" w:eastAsia="仿宋" w:cs="仿宋"/>
                <w:sz w:val="24"/>
                <w:szCs w:val="24"/>
              </w:rPr>
              <w:t>建筑设计防火和建筑灭火器配置应分别符合 GB 50016和GB 50140的规定</w:t>
            </w:r>
            <w:r>
              <w:rPr>
                <w:rFonts w:hint="eastAsia" w:ascii="宋体" w:hAnsi="宋体" w:eastAsia="仿宋" w:cs="仿宋"/>
                <w:sz w:val="24"/>
                <w:szCs w:val="24"/>
                <w:shd w:val="clear" w:fill="FFFFFF"/>
              </w:rPr>
              <w:t>；</w:t>
            </w:r>
            <w:r>
              <w:rPr>
                <w:rFonts w:hint="eastAsia" w:ascii="宋体" w:hAnsi="宋体" w:eastAsia="仿宋" w:cs="仿宋"/>
                <w:sz w:val="24"/>
                <w:szCs w:val="24"/>
              </w:rPr>
              <w:t>建设项目的安全设施和职业病防护设施应与建设项目主体工程同时设计、同时施工、同时</w:t>
            </w:r>
            <w:r>
              <w:rPr>
                <w:rFonts w:hint="eastAsia" w:ascii="宋体" w:hAnsi="宋体" w:eastAsia="仿宋" w:cs="仿宋"/>
                <w:sz w:val="24"/>
                <w:szCs w:val="24"/>
                <w:shd w:val="clear" w:fill="FFFFFF"/>
              </w:rPr>
              <w:t>投人生产</w:t>
            </w:r>
            <w:r>
              <w:rPr>
                <w:rFonts w:hint="eastAsia" w:ascii="宋体" w:hAnsi="宋体" w:eastAsia="仿宋" w:cs="仿宋"/>
                <w:sz w:val="24"/>
                <w:szCs w:val="24"/>
              </w:rPr>
              <w:t>和使用。</w:t>
            </w:r>
          </w:p>
          <w:p>
            <w:pPr>
              <w:spacing w:line="240" w:lineRule="auto"/>
              <w:jc w:val="left"/>
              <w:rPr>
                <w:rFonts w:hint="eastAsia" w:ascii="宋体" w:hAnsi="宋体" w:eastAsia="仿宋" w:cs="仿宋"/>
                <w:sz w:val="24"/>
                <w:szCs w:val="24"/>
                <w:lang w:eastAsia="zh-CN"/>
              </w:rPr>
            </w:pPr>
            <w:r>
              <w:rPr>
                <w:rFonts w:hint="eastAsia" w:ascii="宋体" w:hAnsi="宋体" w:eastAsia="仿宋" w:cs="仿宋"/>
                <w:sz w:val="24"/>
                <w:szCs w:val="24"/>
              </w:rPr>
              <w:t>企业应按照有关规定进行建设项目安全生产、职业病危害评价</w:t>
            </w:r>
            <w:r>
              <w:rPr>
                <w:rFonts w:hint="eastAsia" w:ascii="宋体" w:hAnsi="宋体" w:eastAsia="仿宋" w:cs="仿宋"/>
                <w:sz w:val="24"/>
                <w:szCs w:val="24"/>
                <w:shd w:val="clear" w:fill="FFFFFF"/>
              </w:rPr>
              <w:t>，</w:t>
            </w:r>
            <w:r>
              <w:rPr>
                <w:rFonts w:hint="eastAsia" w:ascii="宋体" w:hAnsi="宋体" w:eastAsia="仿宋" w:cs="仿宋"/>
                <w:sz w:val="24"/>
                <w:szCs w:val="24"/>
              </w:rPr>
              <w:t>严格履行建设项目安全设施和职业病防护设施设计审查、施工、试运行、竣工验收等管理程序</w:t>
            </w:r>
            <w:r>
              <w:rPr>
                <w:rFonts w:hint="eastAsia" w:ascii="宋体" w:hAnsi="宋体" w:eastAsia="仿宋" w:cs="仿宋"/>
                <w:sz w:val="24"/>
                <w:szCs w:val="24"/>
                <w:lang w:eastAsia="zh-CN"/>
              </w:rPr>
              <w:t>。</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10.2.2 设备设施建设与验收</w:t>
            </w:r>
          </w:p>
          <w:p>
            <w:pPr>
              <w:snapToGrid w:val="0"/>
              <w:spacing w:line="240" w:lineRule="auto"/>
              <w:rPr>
                <w:rFonts w:hint="eastAsia" w:ascii="宋体" w:hAnsi="宋体" w:eastAsia="仿宋" w:cs="仿宋"/>
                <w:sz w:val="24"/>
              </w:rPr>
            </w:pPr>
            <w:r>
              <w:rPr>
                <w:rFonts w:hint="eastAsia" w:ascii="宋体" w:hAnsi="宋体" w:eastAsia="仿宋" w:cs="仿宋"/>
                <w:sz w:val="24"/>
              </w:rPr>
              <w:t>企业安全设施应与建设项目主体工程同时设计、同时施工、同时投入生产和使用，并确保企业总平面布置、建筑防火设计、消防设施和灭火器材配置等符合规定。</w:t>
            </w:r>
          </w:p>
          <w:p>
            <w:pPr>
              <w:snapToGrid w:val="0"/>
              <w:spacing w:line="240" w:lineRule="auto"/>
              <w:rPr>
                <w:rFonts w:hint="eastAsia" w:ascii="宋体" w:hAnsi="宋体" w:eastAsia="仿宋" w:cs="仿宋"/>
                <w:sz w:val="24"/>
              </w:rPr>
            </w:pPr>
            <w:r>
              <w:rPr>
                <w:rFonts w:hint="eastAsia" w:ascii="宋体" w:hAnsi="宋体" w:eastAsia="仿宋" w:cs="仿宋"/>
                <w:sz w:val="24"/>
              </w:rPr>
              <w:t>企业应购置、使用符合安全要求、质量合格的设备设施。</w:t>
            </w:r>
          </w:p>
          <w:p>
            <w:pPr>
              <w:snapToGrid w:val="0"/>
              <w:spacing w:line="240" w:lineRule="auto"/>
              <w:rPr>
                <w:rFonts w:hint="eastAsia" w:ascii="宋体" w:hAnsi="宋体" w:eastAsia="仿宋" w:cs="仿宋"/>
                <w:sz w:val="24"/>
              </w:rPr>
            </w:pPr>
            <w:r>
              <w:rPr>
                <w:rFonts w:hint="eastAsia" w:ascii="宋体" w:hAnsi="宋体" w:eastAsia="仿宋" w:cs="仿宋"/>
                <w:sz w:val="24"/>
              </w:rPr>
              <w:t>应对设备设施验收、调试的过程及结果进行如实记录。</w:t>
            </w:r>
          </w:p>
        </w:tc>
        <w:tc>
          <w:tcPr>
            <w:tcW w:w="1657" w:type="pct"/>
            <w:vAlign w:val="center"/>
          </w:tcPr>
          <w:p>
            <w:pPr>
              <w:spacing w:line="240" w:lineRule="auto"/>
              <w:jc w:val="left"/>
              <w:rPr>
                <w:rFonts w:hint="eastAsia" w:ascii="宋体" w:hAnsi="宋体" w:eastAsia="仿宋" w:cs="仿宋"/>
                <w:sz w:val="24"/>
                <w:szCs w:val="24"/>
                <w:lang w:eastAsia="zh-CN"/>
              </w:rPr>
            </w:pPr>
            <w:r>
              <w:rPr>
                <w:rFonts w:hint="eastAsia" w:ascii="宋体" w:hAnsi="宋体" w:eastAsia="仿宋" w:cs="仿宋"/>
                <w:sz w:val="24"/>
                <w:szCs w:val="24"/>
              </w:rPr>
              <w:t>修改表述方式，简练语言，简化了消防、职业健康相关规定</w:t>
            </w:r>
            <w:r>
              <w:rPr>
                <w:rFonts w:hint="eastAsia" w:ascii="宋体" w:hAnsi="宋体" w:eastAsia="仿宋" w:cs="仿宋"/>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57" w:type="pct"/>
            <w:vAlign w:val="center"/>
          </w:tcPr>
          <w:p>
            <w:pPr>
              <w:spacing w:line="240" w:lineRule="auto"/>
              <w:jc w:val="center"/>
              <w:rPr>
                <w:rFonts w:hint="eastAsia" w:ascii="宋体" w:hAnsi="宋体" w:eastAsia="仿宋" w:cs="仿宋"/>
                <w:sz w:val="24"/>
                <w:szCs w:val="24"/>
              </w:rPr>
            </w:pPr>
            <w:r>
              <w:rPr>
                <w:rFonts w:hint="eastAsia" w:ascii="宋体" w:hAnsi="宋体" w:eastAsia="仿宋" w:cs="仿宋"/>
                <w:sz w:val="24"/>
                <w:szCs w:val="24"/>
              </w:rPr>
              <w:t>83</w:t>
            </w:r>
          </w:p>
        </w:tc>
        <w:tc>
          <w:tcPr>
            <w:tcW w:w="1550" w:type="pct"/>
            <w:vAlign w:val="center"/>
          </w:tcPr>
          <w:p>
            <w:pPr>
              <w:pStyle w:val="4"/>
              <w:spacing w:before="120" w:after="120" w:line="240" w:lineRule="auto"/>
              <w:rPr>
                <w:rFonts w:hint="eastAsia" w:ascii="宋体" w:hAnsi="宋体" w:eastAsia="仿宋" w:cs="仿宋"/>
                <w:b w:val="0"/>
                <w:bCs w:val="0"/>
                <w:sz w:val="24"/>
                <w:szCs w:val="24"/>
              </w:rPr>
            </w:pPr>
            <w:r>
              <w:rPr>
                <w:rFonts w:hint="eastAsia" w:ascii="宋体" w:hAnsi="宋体" w:eastAsia="仿宋" w:cs="仿宋"/>
                <w:b w:val="0"/>
                <w:bCs w:val="0"/>
                <w:sz w:val="24"/>
                <w:szCs w:val="24"/>
              </w:rPr>
              <w:t>5.4.1.2 设备设施验收</w:t>
            </w:r>
          </w:p>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企业应执行设备设施采购、到货验收制度</w:t>
            </w:r>
            <w:r>
              <w:rPr>
                <w:rFonts w:hint="eastAsia" w:ascii="宋体" w:hAnsi="宋体" w:eastAsia="仿宋" w:cs="仿宋"/>
                <w:sz w:val="24"/>
                <w:szCs w:val="24"/>
                <w:shd w:val="clear" w:fill="FFFFFF"/>
              </w:rPr>
              <w:t>，</w:t>
            </w:r>
            <w:r>
              <w:rPr>
                <w:rFonts w:hint="eastAsia" w:ascii="宋体" w:hAnsi="宋体" w:eastAsia="仿宋" w:cs="仿宋"/>
                <w:sz w:val="24"/>
                <w:szCs w:val="24"/>
              </w:rPr>
              <w:t>购置、使用设计符合要求、质量合格的设备设施。设备设施安装后企业应进行验收，并对相关过程及结果进行记录</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10.2.3 设备设施运行</w:t>
            </w:r>
          </w:p>
          <w:p>
            <w:pPr>
              <w:snapToGrid w:val="0"/>
              <w:spacing w:line="240" w:lineRule="auto"/>
              <w:rPr>
                <w:rFonts w:hint="eastAsia" w:ascii="宋体" w:hAnsi="宋体" w:eastAsia="仿宋" w:cs="仿宋"/>
                <w:sz w:val="24"/>
              </w:rPr>
            </w:pPr>
            <w:r>
              <w:rPr>
                <w:rFonts w:hint="eastAsia" w:ascii="宋体" w:hAnsi="宋体" w:eastAsia="仿宋" w:cs="仿宋"/>
                <w:sz w:val="24"/>
              </w:rPr>
              <w:t>企业应对设备设施运行进行规范化管理，确保其始终处于安全可靠</w:t>
            </w:r>
            <w:r>
              <w:rPr>
                <w:rFonts w:hint="eastAsia" w:ascii="宋体" w:hAnsi="宋体" w:eastAsia="仿宋" w:cs="仿宋"/>
                <w:sz w:val="24"/>
                <w:shd w:val="clear" w:color="auto" w:fill="FFFFFF"/>
              </w:rPr>
              <w:t>的</w:t>
            </w:r>
            <w:r>
              <w:rPr>
                <w:rFonts w:hint="eastAsia" w:ascii="宋体" w:hAnsi="宋体" w:eastAsia="仿宋" w:cs="仿宋"/>
                <w:sz w:val="24"/>
              </w:rPr>
              <w:t>运行状态。</w:t>
            </w:r>
          </w:p>
          <w:p>
            <w:pPr>
              <w:snapToGrid w:val="0"/>
              <w:spacing w:line="240" w:lineRule="auto"/>
              <w:rPr>
                <w:rFonts w:hint="eastAsia" w:ascii="宋体" w:hAnsi="宋体" w:eastAsia="仿宋" w:cs="仿宋"/>
                <w:sz w:val="24"/>
              </w:rPr>
            </w:pPr>
            <w:r>
              <w:rPr>
                <w:rFonts w:hint="eastAsia" w:ascii="宋体" w:hAnsi="宋体" w:eastAsia="仿宋" w:cs="仿宋"/>
                <w:sz w:val="24"/>
              </w:rPr>
              <w:t>针对高温、高压和生产、使用、储存易燃、易爆、有毒、有害物质等危险性较大的设备设施，应按规定建立在线监测系统，对运行状态参数进行监测、监控、预警、跟踪分析和处理。</w:t>
            </w:r>
          </w:p>
          <w:p>
            <w:pPr>
              <w:snapToGrid w:val="0"/>
              <w:spacing w:line="240" w:lineRule="auto"/>
              <w:rPr>
                <w:rFonts w:hint="eastAsia" w:ascii="宋体" w:hAnsi="宋体" w:eastAsia="仿宋" w:cs="仿宋"/>
                <w:sz w:val="24"/>
              </w:rPr>
            </w:pPr>
            <w:r>
              <w:rPr>
                <w:rFonts w:hint="eastAsia" w:ascii="宋体" w:hAnsi="宋体" w:eastAsia="仿宋" w:cs="仿宋"/>
                <w:sz w:val="24"/>
              </w:rPr>
              <w:t>应安排人员负责管理安全设施以及检测与监测设备，定期检查维护。</w:t>
            </w:r>
          </w:p>
        </w:tc>
        <w:tc>
          <w:tcPr>
            <w:tcW w:w="1657" w:type="pct"/>
            <w:vAlign w:val="center"/>
          </w:tcPr>
          <w:p>
            <w:pPr>
              <w:spacing w:line="240" w:lineRule="auto"/>
              <w:jc w:val="left"/>
              <w:rPr>
                <w:rFonts w:hint="eastAsia" w:ascii="宋体" w:hAnsi="宋体" w:eastAsia="仿宋" w:cs="仿宋"/>
                <w:sz w:val="24"/>
                <w:szCs w:val="24"/>
                <w:lang w:eastAsia="zh-CN"/>
              </w:rPr>
            </w:pPr>
            <w:r>
              <w:rPr>
                <w:rFonts w:hint="eastAsia" w:ascii="宋体" w:hAnsi="宋体" w:eastAsia="仿宋" w:cs="仿宋"/>
                <w:sz w:val="24"/>
                <w:szCs w:val="24"/>
              </w:rPr>
              <w:t>制度要求全部在一般规定，其他内容整理，语言更加精炼，根据《应急管理部办公厅关于全面推进钢铁和铝加工（深井铸造）企业安全生产风险监测预警系统建设应用的通知》相关内容</w:t>
            </w:r>
            <w:r>
              <w:rPr>
                <w:rFonts w:hint="eastAsia" w:ascii="宋体" w:hAnsi="宋体" w:eastAsia="仿宋" w:cs="仿宋"/>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spacing w:line="240" w:lineRule="auto"/>
              <w:jc w:val="center"/>
              <w:rPr>
                <w:rFonts w:hint="eastAsia" w:ascii="宋体" w:hAnsi="宋体" w:eastAsia="仿宋" w:cs="仿宋"/>
                <w:sz w:val="24"/>
                <w:szCs w:val="24"/>
              </w:rPr>
            </w:pPr>
            <w:r>
              <w:rPr>
                <w:rFonts w:hint="eastAsia" w:ascii="宋体" w:hAnsi="宋体" w:eastAsia="仿宋" w:cs="仿宋"/>
                <w:sz w:val="24"/>
                <w:szCs w:val="24"/>
              </w:rPr>
              <w:t>84</w:t>
            </w:r>
          </w:p>
        </w:tc>
        <w:tc>
          <w:tcPr>
            <w:tcW w:w="1550" w:type="pct"/>
            <w:vAlign w:val="center"/>
          </w:tcPr>
          <w:p>
            <w:pPr>
              <w:pStyle w:val="4"/>
              <w:spacing w:before="120" w:after="120" w:line="240" w:lineRule="auto"/>
              <w:rPr>
                <w:rFonts w:hint="eastAsia" w:ascii="宋体" w:hAnsi="宋体" w:eastAsia="仿宋" w:cs="仿宋"/>
                <w:b w:val="0"/>
                <w:bCs w:val="0"/>
                <w:sz w:val="24"/>
                <w:szCs w:val="24"/>
              </w:rPr>
            </w:pPr>
            <w:r>
              <w:rPr>
                <w:rFonts w:hint="eastAsia" w:ascii="宋体" w:hAnsi="宋体" w:eastAsia="仿宋" w:cs="仿宋"/>
                <w:b w:val="0"/>
                <w:bCs w:val="0"/>
                <w:sz w:val="24"/>
                <w:szCs w:val="24"/>
              </w:rPr>
              <w:t>5.4.1.3设备设施运行</w:t>
            </w:r>
          </w:p>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企业应对设备设施进行规范化管理</w:t>
            </w:r>
            <w:r>
              <w:rPr>
                <w:rFonts w:hint="eastAsia" w:ascii="宋体" w:hAnsi="宋体" w:eastAsia="仿宋" w:cs="仿宋"/>
                <w:sz w:val="24"/>
                <w:szCs w:val="24"/>
                <w:shd w:val="clear" w:fill="FFFFFF"/>
              </w:rPr>
              <w:t>，</w:t>
            </w:r>
            <w:r>
              <w:rPr>
                <w:rFonts w:hint="eastAsia" w:ascii="宋体" w:hAnsi="宋体" w:eastAsia="仿宋" w:cs="仿宋"/>
                <w:sz w:val="24"/>
                <w:szCs w:val="24"/>
              </w:rPr>
              <w:t>建立设备设施管理台账。企业应有专人负责管理各种安全设施以及检测与监测设备</w:t>
            </w:r>
            <w:r>
              <w:rPr>
                <w:rFonts w:hint="eastAsia" w:ascii="宋体" w:hAnsi="宋体" w:eastAsia="仿宋" w:cs="仿宋"/>
                <w:sz w:val="24"/>
                <w:szCs w:val="24"/>
                <w:shd w:val="clear" w:fill="FFFFFF"/>
              </w:rPr>
              <w:t>，</w:t>
            </w:r>
            <w:r>
              <w:rPr>
                <w:rFonts w:hint="eastAsia" w:ascii="宋体" w:hAnsi="宋体" w:eastAsia="仿宋" w:cs="仿宋"/>
                <w:sz w:val="24"/>
                <w:szCs w:val="24"/>
              </w:rPr>
              <w:t>定期检查维护并做好记录。企业应针对高温、高压和生产、使用、储存易燃、易爆、有毒、有害物质等高风险设备</w:t>
            </w:r>
            <w:r>
              <w:rPr>
                <w:rFonts w:hint="eastAsia" w:ascii="宋体" w:hAnsi="宋体" w:eastAsia="仿宋" w:cs="仿宋"/>
                <w:sz w:val="24"/>
                <w:szCs w:val="24"/>
                <w:shd w:val="clear" w:fill="FFFFFF"/>
              </w:rPr>
              <w:t>，</w:t>
            </w:r>
            <w:r>
              <w:rPr>
                <w:rFonts w:hint="eastAsia" w:ascii="宋体" w:hAnsi="宋体" w:eastAsia="仿宋" w:cs="仿宋"/>
                <w:sz w:val="24"/>
                <w:szCs w:val="24"/>
              </w:rPr>
              <w:t>以及海洋石油开采特种设备和矿山井下特种设备</w:t>
            </w:r>
            <w:r>
              <w:rPr>
                <w:rFonts w:hint="eastAsia" w:ascii="宋体" w:hAnsi="宋体" w:eastAsia="仿宋" w:cs="仿宋"/>
                <w:sz w:val="24"/>
                <w:szCs w:val="24"/>
                <w:shd w:val="clear" w:fill="FFFFFF"/>
              </w:rPr>
              <w:t>，</w:t>
            </w:r>
            <w:r>
              <w:rPr>
                <w:rFonts w:hint="eastAsia" w:ascii="宋体" w:hAnsi="宋体" w:eastAsia="仿宋" w:cs="仿宋"/>
                <w:sz w:val="24"/>
                <w:szCs w:val="24"/>
              </w:rPr>
              <w:t>建立运行、巡检、保养的专项安全管理制度</w:t>
            </w:r>
            <w:r>
              <w:rPr>
                <w:rFonts w:hint="eastAsia" w:ascii="宋体" w:hAnsi="宋体" w:eastAsia="仿宋" w:cs="仿宋"/>
                <w:sz w:val="24"/>
                <w:szCs w:val="24"/>
                <w:shd w:val="clear" w:fill="FFFFFF"/>
              </w:rPr>
              <w:t>，</w:t>
            </w:r>
            <w:r>
              <w:rPr>
                <w:rFonts w:hint="eastAsia" w:ascii="宋体" w:hAnsi="宋体" w:eastAsia="仿宋" w:cs="仿宋"/>
                <w:sz w:val="24"/>
                <w:szCs w:val="24"/>
              </w:rPr>
              <w:t>确保其始终处于安全可靠的运行状态。</w:t>
            </w:r>
          </w:p>
          <w:p>
            <w:pPr>
              <w:spacing w:line="240" w:lineRule="auto"/>
              <w:jc w:val="left"/>
              <w:rPr>
                <w:rFonts w:hint="eastAsia" w:ascii="宋体" w:hAnsi="宋体" w:eastAsia="仿宋" w:cs="仿宋"/>
                <w:sz w:val="24"/>
                <w:szCs w:val="24"/>
                <w:lang w:eastAsia="zh-CN"/>
              </w:rPr>
            </w:pPr>
            <w:r>
              <w:rPr>
                <w:rFonts w:hint="eastAsia" w:ascii="宋体" w:hAnsi="宋体" w:eastAsia="仿宋" w:cs="仿宋"/>
                <w:sz w:val="24"/>
                <w:szCs w:val="24"/>
              </w:rPr>
              <w:t>安全设施和职业病防护设施不应随意拆除、挪用或弃置不用</w:t>
            </w:r>
            <w:r>
              <w:rPr>
                <w:rFonts w:hint="eastAsia" w:ascii="宋体" w:hAnsi="宋体" w:eastAsia="仿宋" w:cs="仿宋"/>
                <w:sz w:val="24"/>
                <w:szCs w:val="24"/>
                <w:shd w:val="clear" w:fill="FFFFFF"/>
              </w:rPr>
              <w:t>；</w:t>
            </w:r>
            <w:r>
              <w:rPr>
                <w:rFonts w:hint="eastAsia" w:ascii="宋体" w:hAnsi="宋体" w:eastAsia="仿宋" w:cs="仿宋"/>
                <w:sz w:val="24"/>
                <w:szCs w:val="24"/>
              </w:rPr>
              <w:t>确因检维修拆除的</w:t>
            </w:r>
            <w:r>
              <w:rPr>
                <w:rFonts w:hint="eastAsia" w:ascii="宋体" w:hAnsi="宋体" w:eastAsia="仿宋" w:cs="仿宋"/>
                <w:sz w:val="24"/>
                <w:szCs w:val="24"/>
                <w:shd w:val="clear" w:fill="FFFFFF"/>
              </w:rPr>
              <w:t>，</w:t>
            </w:r>
            <w:r>
              <w:rPr>
                <w:rFonts w:hint="eastAsia" w:ascii="宋体" w:hAnsi="宋体" w:eastAsia="仿宋" w:cs="仿宋"/>
                <w:sz w:val="24"/>
                <w:szCs w:val="24"/>
              </w:rPr>
              <w:t>应采取临时安全措施</w:t>
            </w:r>
            <w:r>
              <w:rPr>
                <w:rFonts w:hint="eastAsia" w:ascii="宋体" w:hAnsi="宋体" w:eastAsia="仿宋" w:cs="仿宋"/>
                <w:sz w:val="24"/>
                <w:szCs w:val="24"/>
                <w:shd w:val="clear" w:fill="FFFFFF"/>
              </w:rPr>
              <w:t>，</w:t>
            </w:r>
            <w:r>
              <w:rPr>
                <w:rFonts w:hint="eastAsia" w:ascii="宋体" w:hAnsi="宋体" w:eastAsia="仿宋" w:cs="仿宋"/>
                <w:sz w:val="24"/>
                <w:szCs w:val="24"/>
              </w:rPr>
              <w:t>检维修完毕后立即复原</w:t>
            </w:r>
            <w:r>
              <w:rPr>
                <w:rFonts w:hint="eastAsia" w:ascii="宋体" w:hAnsi="宋体" w:eastAsia="仿宋" w:cs="仿宋"/>
                <w:sz w:val="24"/>
                <w:szCs w:val="24"/>
                <w:lang w:eastAsia="zh-CN"/>
              </w:rPr>
              <w:t>。</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10.2.4 设备设施检维修</w:t>
            </w:r>
          </w:p>
          <w:p>
            <w:pPr>
              <w:snapToGrid w:val="0"/>
              <w:spacing w:line="240" w:lineRule="auto"/>
              <w:rPr>
                <w:rFonts w:hint="eastAsia" w:ascii="宋体" w:hAnsi="宋体" w:eastAsia="仿宋" w:cs="仿宋"/>
                <w:sz w:val="24"/>
              </w:rPr>
            </w:pPr>
            <w:r>
              <w:rPr>
                <w:rFonts w:hint="eastAsia" w:ascii="宋体" w:hAnsi="宋体" w:eastAsia="仿宋" w:cs="仿宋"/>
                <w:sz w:val="24"/>
              </w:rPr>
              <w:t>企业应根据设备状况制定检维修计划，编制检维修规程，加强日常、定期、年度检维修以及临时抢修管理。</w:t>
            </w:r>
          </w:p>
          <w:p>
            <w:pPr>
              <w:snapToGrid w:val="0"/>
              <w:spacing w:line="240" w:lineRule="auto"/>
              <w:rPr>
                <w:rFonts w:hint="eastAsia" w:ascii="宋体" w:hAnsi="宋体" w:eastAsia="仿宋" w:cs="仿宋"/>
                <w:sz w:val="24"/>
              </w:rPr>
            </w:pPr>
            <w:r>
              <w:rPr>
                <w:rFonts w:hint="eastAsia" w:ascii="宋体" w:hAnsi="宋体" w:eastAsia="仿宋" w:cs="仿宋"/>
                <w:sz w:val="24"/>
              </w:rPr>
              <w:t>检维修设备投入使用前应保证安全设施及功能完好。因检维修拆除的安全设施，检维修完毕后应立即复原。</w:t>
            </w:r>
          </w:p>
        </w:tc>
        <w:tc>
          <w:tcPr>
            <w:tcW w:w="1657" w:type="pct"/>
            <w:vAlign w:val="center"/>
          </w:tcPr>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删除运行、巡检、保养的专项安全管理制度，在全生命周期制度里面包含了。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spacing w:line="240" w:lineRule="auto"/>
              <w:jc w:val="center"/>
              <w:rPr>
                <w:rFonts w:hint="eastAsia" w:ascii="宋体" w:hAnsi="宋体" w:eastAsia="仿宋" w:cs="仿宋"/>
                <w:sz w:val="24"/>
                <w:szCs w:val="24"/>
              </w:rPr>
            </w:pPr>
            <w:r>
              <w:rPr>
                <w:rFonts w:hint="eastAsia" w:ascii="宋体" w:hAnsi="宋体" w:eastAsia="仿宋" w:cs="仿宋"/>
                <w:sz w:val="24"/>
                <w:szCs w:val="24"/>
              </w:rPr>
              <w:t>85</w:t>
            </w:r>
          </w:p>
        </w:tc>
        <w:tc>
          <w:tcPr>
            <w:tcW w:w="1550" w:type="pct"/>
            <w:vAlign w:val="center"/>
          </w:tcPr>
          <w:p>
            <w:pPr>
              <w:pStyle w:val="4"/>
              <w:spacing w:before="120" w:after="120" w:line="240" w:lineRule="auto"/>
              <w:rPr>
                <w:rFonts w:hint="eastAsia" w:ascii="宋体" w:hAnsi="宋体" w:eastAsia="仿宋" w:cs="仿宋"/>
                <w:b w:val="0"/>
                <w:bCs w:val="0"/>
                <w:sz w:val="24"/>
                <w:szCs w:val="24"/>
              </w:rPr>
            </w:pPr>
            <w:r>
              <w:rPr>
                <w:rFonts w:hint="eastAsia" w:ascii="宋体" w:hAnsi="宋体" w:eastAsia="仿宋" w:cs="仿宋"/>
                <w:b w:val="0"/>
                <w:bCs w:val="0"/>
                <w:sz w:val="24"/>
                <w:szCs w:val="24"/>
              </w:rPr>
              <w:t>5.4.1.4 设备设施检维修</w:t>
            </w:r>
          </w:p>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企业应建立设备设施检维修管理制度</w:t>
            </w:r>
            <w:r>
              <w:rPr>
                <w:rFonts w:hint="eastAsia" w:ascii="宋体" w:hAnsi="宋体" w:eastAsia="仿宋" w:cs="仿宋"/>
                <w:sz w:val="24"/>
                <w:szCs w:val="24"/>
                <w:shd w:val="clear" w:fill="FFFFFF"/>
              </w:rPr>
              <w:t>，</w:t>
            </w:r>
            <w:r>
              <w:rPr>
                <w:rFonts w:hint="eastAsia" w:ascii="宋体" w:hAnsi="宋体" w:eastAsia="仿宋" w:cs="仿宋"/>
                <w:sz w:val="24"/>
                <w:szCs w:val="24"/>
              </w:rPr>
              <w:t>制定综合检维修计划</w:t>
            </w:r>
            <w:r>
              <w:rPr>
                <w:rFonts w:hint="eastAsia" w:ascii="宋体" w:hAnsi="宋体" w:eastAsia="仿宋" w:cs="仿宋"/>
                <w:sz w:val="24"/>
                <w:szCs w:val="24"/>
                <w:shd w:val="clear" w:fill="FFFFFF"/>
              </w:rPr>
              <w:t>，</w:t>
            </w:r>
            <w:r>
              <w:rPr>
                <w:rFonts w:hint="eastAsia" w:ascii="宋体" w:hAnsi="宋体" w:eastAsia="仿宋" w:cs="仿宋"/>
                <w:sz w:val="24"/>
                <w:szCs w:val="24"/>
              </w:rPr>
              <w:t>加强日常检维修和定期检维修管理落实“五定”原则</w:t>
            </w:r>
            <w:r>
              <w:rPr>
                <w:rFonts w:hint="eastAsia" w:ascii="宋体" w:hAnsi="宋体" w:eastAsia="仿宋" w:cs="仿宋"/>
                <w:sz w:val="24"/>
                <w:szCs w:val="24"/>
                <w:shd w:val="clear" w:fill="FFFFFF"/>
              </w:rPr>
              <w:t>，</w:t>
            </w:r>
            <w:r>
              <w:rPr>
                <w:rFonts w:hint="eastAsia" w:ascii="宋体" w:hAnsi="宋体" w:eastAsia="仿宋" w:cs="仿宋"/>
                <w:sz w:val="24"/>
                <w:szCs w:val="24"/>
              </w:rPr>
              <w:t>即定检维修方案、定检维修人员</w:t>
            </w:r>
            <w:r>
              <w:rPr>
                <w:rFonts w:hint="eastAsia" w:ascii="宋体" w:hAnsi="宋体" w:eastAsia="仿宋" w:cs="仿宋"/>
                <w:sz w:val="24"/>
                <w:szCs w:val="24"/>
                <w:shd w:val="clear" w:fill="FFFFFF"/>
              </w:rPr>
              <w:t>、</w:t>
            </w:r>
            <w:r>
              <w:rPr>
                <w:rFonts w:hint="eastAsia" w:ascii="宋体" w:hAnsi="宋体" w:eastAsia="仿宋" w:cs="仿宋"/>
                <w:sz w:val="24"/>
                <w:szCs w:val="24"/>
              </w:rPr>
              <w:t>定安全措施、定检维修质量、定检维修进度</w:t>
            </w:r>
            <w:r>
              <w:rPr>
                <w:rFonts w:hint="eastAsia" w:ascii="宋体" w:hAnsi="宋体" w:eastAsia="仿宋" w:cs="仿宋"/>
                <w:sz w:val="24"/>
                <w:szCs w:val="24"/>
                <w:shd w:val="clear" w:fill="FFFFFF"/>
              </w:rPr>
              <w:t>，</w:t>
            </w:r>
            <w:r>
              <w:rPr>
                <w:rFonts w:hint="eastAsia" w:ascii="宋体" w:hAnsi="宋体" w:eastAsia="仿宋" w:cs="仿宋"/>
                <w:sz w:val="24"/>
                <w:szCs w:val="24"/>
              </w:rPr>
              <w:t>并做好记录。</w:t>
            </w:r>
          </w:p>
          <w:p>
            <w:pPr>
              <w:spacing w:line="240" w:lineRule="auto"/>
              <w:jc w:val="left"/>
              <w:rPr>
                <w:rFonts w:hint="eastAsia" w:ascii="宋体" w:hAnsi="宋体" w:eastAsia="仿宋" w:cs="仿宋"/>
                <w:sz w:val="24"/>
                <w:szCs w:val="24"/>
                <w:lang w:eastAsia="zh-CN"/>
              </w:rPr>
            </w:pPr>
            <w:r>
              <w:rPr>
                <w:rFonts w:hint="eastAsia" w:ascii="宋体" w:hAnsi="宋体" w:eastAsia="仿宋" w:cs="仿宋"/>
                <w:sz w:val="24"/>
                <w:szCs w:val="24"/>
              </w:rPr>
              <w:t>检维修方案应包含作业安全风险分析、控制措施、应急处置措施及安全验收标准。检维修过程中应执行安全控制措施</w:t>
            </w:r>
            <w:r>
              <w:rPr>
                <w:rFonts w:hint="eastAsia" w:ascii="宋体" w:hAnsi="宋体" w:eastAsia="仿宋" w:cs="仿宋"/>
                <w:sz w:val="24"/>
                <w:szCs w:val="24"/>
                <w:shd w:val="clear" w:fill="FFFFFF"/>
              </w:rPr>
              <w:t>，</w:t>
            </w:r>
            <w:r>
              <w:rPr>
                <w:rFonts w:hint="eastAsia" w:ascii="宋体" w:hAnsi="宋体" w:eastAsia="仿宋" w:cs="仿宋"/>
                <w:sz w:val="24"/>
                <w:szCs w:val="24"/>
              </w:rPr>
              <w:t>隔离能量和危险物质</w:t>
            </w:r>
            <w:r>
              <w:rPr>
                <w:rFonts w:hint="eastAsia" w:ascii="宋体" w:hAnsi="宋体" w:eastAsia="仿宋" w:cs="仿宋"/>
                <w:sz w:val="24"/>
                <w:szCs w:val="24"/>
                <w:shd w:val="clear" w:fill="FFFFFF"/>
              </w:rPr>
              <w:t>，</w:t>
            </w:r>
            <w:r>
              <w:rPr>
                <w:rFonts w:hint="eastAsia" w:ascii="宋体" w:hAnsi="宋体" w:eastAsia="仿宋" w:cs="仿宋"/>
                <w:sz w:val="24"/>
                <w:szCs w:val="24"/>
              </w:rPr>
              <w:t>并进行监督检查</w:t>
            </w:r>
            <w:r>
              <w:rPr>
                <w:rFonts w:hint="eastAsia" w:ascii="宋体" w:hAnsi="宋体" w:eastAsia="仿宋" w:cs="仿宋"/>
                <w:sz w:val="24"/>
                <w:szCs w:val="24"/>
                <w:shd w:val="clear" w:fill="FFFFFF"/>
              </w:rPr>
              <w:t>，</w:t>
            </w:r>
            <w:r>
              <w:rPr>
                <w:rFonts w:hint="eastAsia" w:ascii="宋体" w:hAnsi="宋体" w:eastAsia="仿宋" w:cs="仿宋"/>
                <w:sz w:val="24"/>
                <w:szCs w:val="24"/>
              </w:rPr>
              <w:t>检维修后应进行安全确认。检维修过程中涉及危险作业的</w:t>
            </w:r>
            <w:r>
              <w:rPr>
                <w:rFonts w:hint="eastAsia" w:ascii="宋体" w:hAnsi="宋体" w:eastAsia="仿宋" w:cs="仿宋"/>
                <w:sz w:val="24"/>
                <w:szCs w:val="24"/>
                <w:shd w:val="clear" w:fill="FFFFFF"/>
              </w:rPr>
              <w:t>，</w:t>
            </w:r>
            <w:r>
              <w:rPr>
                <w:rFonts w:hint="eastAsia" w:ascii="宋体" w:hAnsi="宋体" w:eastAsia="仿宋" w:cs="仿宋"/>
                <w:sz w:val="24"/>
                <w:szCs w:val="24"/>
              </w:rPr>
              <w:t>应按照5.4.2.1执行</w:t>
            </w:r>
            <w:r>
              <w:rPr>
                <w:rFonts w:hint="eastAsia" w:ascii="宋体" w:hAnsi="宋体" w:eastAsia="仿宋" w:cs="仿宋"/>
                <w:sz w:val="24"/>
                <w:szCs w:val="24"/>
                <w:lang w:eastAsia="zh-CN"/>
              </w:rPr>
              <w:t>。</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10.2.5 设备设施停用、拆除与报废</w:t>
            </w:r>
          </w:p>
          <w:p>
            <w:pPr>
              <w:snapToGrid w:val="0"/>
              <w:spacing w:line="240" w:lineRule="auto"/>
              <w:rPr>
                <w:rFonts w:hint="eastAsia" w:ascii="宋体" w:hAnsi="宋体" w:eastAsia="仿宋" w:cs="仿宋"/>
                <w:sz w:val="24"/>
              </w:rPr>
            </w:pPr>
            <w:r>
              <w:rPr>
                <w:rFonts w:hint="eastAsia" w:ascii="宋体" w:hAnsi="宋体" w:eastAsia="仿宋" w:cs="仿宋"/>
                <w:sz w:val="24"/>
              </w:rPr>
              <w:t>设备设施的停用、拆除与报废应履行审批程序。</w:t>
            </w:r>
          </w:p>
          <w:p>
            <w:pPr>
              <w:snapToGrid w:val="0"/>
              <w:spacing w:line="240" w:lineRule="auto"/>
              <w:rPr>
                <w:rFonts w:hint="eastAsia" w:ascii="宋体" w:hAnsi="宋体" w:eastAsia="仿宋" w:cs="仿宋"/>
                <w:sz w:val="24"/>
              </w:rPr>
            </w:pPr>
            <w:r>
              <w:rPr>
                <w:rFonts w:hint="eastAsia" w:ascii="宋体" w:hAnsi="宋体" w:eastAsia="仿宋" w:cs="仿宋"/>
                <w:sz w:val="24"/>
              </w:rPr>
              <w:t>应进行安全风险分析，制定作业方案，在现场设置明显的报废或停用设备设施标志，对相关作业人员进行培训和安全技术交底，严格按方案和许可内容组织落实。</w:t>
            </w:r>
          </w:p>
        </w:tc>
        <w:tc>
          <w:tcPr>
            <w:tcW w:w="1657" w:type="pct"/>
            <w:vAlign w:val="center"/>
          </w:tcPr>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删除专项安全管理制度，在全生命周期制度里面包含了。结合企业实际，增加抢修的管理，精炼语言。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spacing w:line="240" w:lineRule="auto"/>
              <w:jc w:val="center"/>
              <w:rPr>
                <w:rFonts w:hint="eastAsia" w:ascii="宋体" w:hAnsi="宋体" w:eastAsia="仿宋" w:cs="仿宋"/>
                <w:sz w:val="24"/>
                <w:szCs w:val="24"/>
              </w:rPr>
            </w:pPr>
            <w:r>
              <w:rPr>
                <w:rFonts w:hint="eastAsia" w:ascii="宋体" w:hAnsi="宋体" w:eastAsia="仿宋" w:cs="仿宋"/>
                <w:sz w:val="24"/>
                <w:szCs w:val="24"/>
              </w:rPr>
              <w:t>86</w:t>
            </w:r>
          </w:p>
        </w:tc>
        <w:tc>
          <w:tcPr>
            <w:tcW w:w="1550" w:type="pct"/>
            <w:vAlign w:val="center"/>
          </w:tcPr>
          <w:p>
            <w:pPr>
              <w:pStyle w:val="4"/>
              <w:spacing w:before="120" w:after="120" w:line="240" w:lineRule="auto"/>
              <w:rPr>
                <w:rFonts w:hint="eastAsia" w:ascii="宋体" w:hAnsi="宋体" w:eastAsia="仿宋" w:cs="仿宋"/>
                <w:b w:val="0"/>
                <w:bCs w:val="0"/>
                <w:sz w:val="24"/>
                <w:szCs w:val="24"/>
              </w:rPr>
            </w:pPr>
            <w:r>
              <w:rPr>
                <w:rFonts w:hint="eastAsia" w:ascii="宋体" w:hAnsi="宋体" w:eastAsia="仿宋" w:cs="仿宋"/>
                <w:b w:val="0"/>
                <w:bCs w:val="0"/>
                <w:sz w:val="24"/>
                <w:szCs w:val="24"/>
              </w:rPr>
              <w:t>5.4.1.5 检测检验</w:t>
            </w:r>
          </w:p>
          <w:p>
            <w:pPr>
              <w:spacing w:line="240" w:lineRule="auto"/>
              <w:jc w:val="left"/>
              <w:rPr>
                <w:rFonts w:hint="eastAsia" w:ascii="宋体" w:hAnsi="宋体" w:eastAsia="仿宋" w:cs="仿宋"/>
                <w:sz w:val="24"/>
                <w:szCs w:val="24"/>
                <w:lang w:eastAsia="zh-CN"/>
              </w:rPr>
            </w:pPr>
            <w:r>
              <w:rPr>
                <w:rFonts w:hint="eastAsia" w:ascii="宋体" w:hAnsi="宋体" w:eastAsia="仿宋" w:cs="仿宋"/>
                <w:sz w:val="24"/>
                <w:szCs w:val="24"/>
              </w:rPr>
              <w:t>特种设备应按照有关规定</w:t>
            </w:r>
            <w:r>
              <w:rPr>
                <w:rFonts w:hint="eastAsia" w:ascii="宋体" w:hAnsi="宋体" w:eastAsia="仿宋" w:cs="仿宋"/>
                <w:sz w:val="24"/>
                <w:szCs w:val="24"/>
                <w:shd w:val="clear" w:fill="FFFFFF"/>
              </w:rPr>
              <w:t>，</w:t>
            </w:r>
            <w:r>
              <w:rPr>
                <w:rFonts w:hint="eastAsia" w:ascii="宋体" w:hAnsi="宋体" w:eastAsia="仿宋" w:cs="仿宋"/>
                <w:sz w:val="24"/>
                <w:szCs w:val="24"/>
              </w:rPr>
              <w:t>委托具有专业资质的检测、检验机构进行定期检测、检验。涉及人身安全、危险性较大的海洋石油开采特种设备和矿山井下特种设备</w:t>
            </w:r>
            <w:r>
              <w:rPr>
                <w:rFonts w:hint="eastAsia" w:ascii="宋体" w:hAnsi="宋体" w:eastAsia="仿宋" w:cs="仿宋"/>
                <w:sz w:val="24"/>
                <w:szCs w:val="24"/>
                <w:shd w:val="clear" w:fill="FFFFFF"/>
              </w:rPr>
              <w:t>，</w:t>
            </w:r>
            <w:r>
              <w:rPr>
                <w:rFonts w:hint="eastAsia" w:ascii="宋体" w:hAnsi="宋体" w:eastAsia="仿宋" w:cs="仿宋"/>
                <w:sz w:val="24"/>
                <w:szCs w:val="24"/>
              </w:rPr>
              <w:t>应取得矿用产品安全标志或相关安全使用证</w:t>
            </w:r>
            <w:r>
              <w:rPr>
                <w:rFonts w:hint="eastAsia" w:ascii="宋体" w:hAnsi="宋体" w:eastAsia="仿宋" w:cs="仿宋"/>
                <w:sz w:val="24"/>
                <w:szCs w:val="24"/>
                <w:lang w:eastAsia="zh-CN"/>
              </w:rPr>
              <w:t>。</w:t>
            </w:r>
          </w:p>
        </w:tc>
        <w:tc>
          <w:tcPr>
            <w:tcW w:w="1535" w:type="pct"/>
            <w:vAlign w:val="center"/>
          </w:tcPr>
          <w:p>
            <w:pPr>
              <w:spacing w:line="240" w:lineRule="auto"/>
              <w:rPr>
                <w:rFonts w:hint="eastAsia" w:ascii="宋体" w:hAnsi="宋体" w:eastAsia="仿宋" w:cs="仿宋"/>
                <w:sz w:val="24"/>
                <w:szCs w:val="24"/>
              </w:rPr>
            </w:pPr>
            <w:r>
              <w:rPr>
                <w:rFonts w:hint="eastAsia" w:ascii="宋体" w:hAnsi="宋体" w:eastAsia="仿宋" w:cs="仿宋"/>
                <w:sz w:val="24"/>
                <w:szCs w:val="24"/>
              </w:rPr>
              <w:t>--</w:t>
            </w:r>
          </w:p>
        </w:tc>
        <w:tc>
          <w:tcPr>
            <w:tcW w:w="1657" w:type="pct"/>
            <w:vAlign w:val="center"/>
          </w:tcPr>
          <w:p>
            <w:pPr>
              <w:spacing w:line="240" w:lineRule="auto"/>
              <w:jc w:val="left"/>
              <w:rPr>
                <w:rFonts w:hint="eastAsia" w:ascii="宋体" w:hAnsi="宋体" w:eastAsia="仿宋" w:cs="仿宋"/>
                <w:sz w:val="24"/>
                <w:szCs w:val="24"/>
                <w:lang w:eastAsia="zh-CN"/>
              </w:rPr>
            </w:pPr>
            <w:r>
              <w:rPr>
                <w:rFonts w:hint="eastAsia" w:ascii="宋体" w:hAnsi="宋体" w:eastAsia="仿宋" w:cs="仿宋"/>
                <w:sz w:val="24"/>
                <w:szCs w:val="24"/>
              </w:rPr>
              <w:t>删除，简化纳入一般要求</w:t>
            </w:r>
            <w:r>
              <w:rPr>
                <w:rFonts w:hint="eastAsia" w:ascii="宋体" w:hAnsi="宋体" w:eastAsia="仿宋" w:cs="仿宋"/>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57" w:type="pct"/>
            <w:vAlign w:val="center"/>
          </w:tcPr>
          <w:p>
            <w:pPr>
              <w:spacing w:line="240" w:lineRule="auto"/>
              <w:jc w:val="center"/>
              <w:rPr>
                <w:rFonts w:hint="eastAsia" w:ascii="宋体" w:hAnsi="宋体" w:eastAsia="仿宋" w:cs="仿宋"/>
                <w:sz w:val="24"/>
                <w:szCs w:val="24"/>
              </w:rPr>
            </w:pPr>
            <w:r>
              <w:rPr>
                <w:rFonts w:hint="eastAsia" w:ascii="宋体" w:hAnsi="宋体" w:eastAsia="仿宋" w:cs="仿宋"/>
                <w:sz w:val="24"/>
                <w:szCs w:val="24"/>
              </w:rPr>
              <w:t>87</w:t>
            </w:r>
          </w:p>
        </w:tc>
        <w:tc>
          <w:tcPr>
            <w:tcW w:w="1550" w:type="pct"/>
            <w:vAlign w:val="center"/>
          </w:tcPr>
          <w:p>
            <w:pPr>
              <w:pStyle w:val="4"/>
              <w:spacing w:before="120" w:after="120" w:line="240" w:lineRule="auto"/>
              <w:rPr>
                <w:rFonts w:hint="eastAsia" w:ascii="宋体" w:hAnsi="宋体" w:eastAsia="仿宋" w:cs="仿宋"/>
                <w:b w:val="0"/>
                <w:bCs w:val="0"/>
                <w:sz w:val="24"/>
                <w:szCs w:val="24"/>
              </w:rPr>
            </w:pPr>
            <w:r>
              <w:rPr>
                <w:rFonts w:hint="eastAsia" w:ascii="宋体" w:hAnsi="宋体" w:eastAsia="仿宋" w:cs="仿宋"/>
                <w:b w:val="0"/>
                <w:bCs w:val="0"/>
                <w:sz w:val="24"/>
                <w:szCs w:val="24"/>
              </w:rPr>
              <w:t>5.4.1.6 设备设施拆除、报废</w:t>
            </w:r>
          </w:p>
          <w:p>
            <w:pPr>
              <w:spacing w:line="240" w:lineRule="auto"/>
              <w:jc w:val="left"/>
              <w:rPr>
                <w:rFonts w:hint="eastAsia" w:ascii="宋体" w:hAnsi="宋体" w:eastAsia="仿宋" w:cs="仿宋"/>
                <w:sz w:val="24"/>
                <w:szCs w:val="24"/>
                <w:lang w:eastAsia="zh-CN"/>
              </w:rPr>
            </w:pPr>
            <w:r>
              <w:rPr>
                <w:rFonts w:hint="eastAsia" w:ascii="宋体" w:hAnsi="宋体" w:eastAsia="仿宋" w:cs="仿宋"/>
                <w:sz w:val="24"/>
                <w:szCs w:val="24"/>
              </w:rPr>
              <w:t>企业应建立设备设施报废管理制度。设备设施的报废应办理审批手续</w:t>
            </w:r>
            <w:r>
              <w:rPr>
                <w:rFonts w:hint="eastAsia" w:ascii="宋体" w:hAnsi="宋体" w:eastAsia="仿宋" w:cs="仿宋"/>
                <w:sz w:val="24"/>
                <w:szCs w:val="24"/>
                <w:shd w:val="clear" w:fill="FFFFFF"/>
              </w:rPr>
              <w:t>，</w:t>
            </w:r>
            <w:r>
              <w:rPr>
                <w:rFonts w:hint="eastAsia" w:ascii="宋体" w:hAnsi="宋体" w:eastAsia="仿宋" w:cs="仿宋"/>
                <w:sz w:val="24"/>
                <w:szCs w:val="24"/>
              </w:rPr>
              <w:t>在报废设备设施拆除前应制定方案</w:t>
            </w:r>
            <w:r>
              <w:rPr>
                <w:rFonts w:hint="eastAsia" w:ascii="宋体" w:hAnsi="宋体" w:eastAsia="仿宋" w:cs="仿宋"/>
                <w:sz w:val="24"/>
                <w:szCs w:val="24"/>
                <w:shd w:val="clear" w:fill="FFFFFF"/>
              </w:rPr>
              <w:t>，</w:t>
            </w:r>
            <w:r>
              <w:rPr>
                <w:rFonts w:hint="eastAsia" w:ascii="宋体" w:hAnsi="宋体" w:eastAsia="仿宋" w:cs="仿宋"/>
                <w:sz w:val="24"/>
                <w:szCs w:val="24"/>
              </w:rPr>
              <w:t>并在现场设置明显的报废设备设施标志。报废、拆除涉及许可作业的</w:t>
            </w:r>
            <w:r>
              <w:rPr>
                <w:rFonts w:hint="eastAsia" w:ascii="宋体" w:hAnsi="宋体" w:eastAsia="仿宋" w:cs="仿宋"/>
                <w:sz w:val="24"/>
                <w:szCs w:val="24"/>
                <w:shd w:val="clear" w:fill="FFFFFF"/>
              </w:rPr>
              <w:t>，</w:t>
            </w:r>
            <w:r>
              <w:rPr>
                <w:rFonts w:hint="eastAsia" w:ascii="宋体" w:hAnsi="宋体" w:eastAsia="仿宋" w:cs="仿宋"/>
                <w:sz w:val="24"/>
                <w:szCs w:val="24"/>
              </w:rPr>
              <w:t>应按照5.4.2.1执行，并在作业前对相关作业人员进行培训和安全技术交底。报废、拆除应按方案和许可内容组织落实</w:t>
            </w:r>
            <w:r>
              <w:rPr>
                <w:rFonts w:hint="eastAsia" w:ascii="宋体" w:hAnsi="宋体" w:eastAsia="仿宋" w:cs="仿宋"/>
                <w:sz w:val="24"/>
                <w:szCs w:val="24"/>
                <w:lang w:eastAsia="zh-CN"/>
              </w:rPr>
              <w:t>。</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10.2.5 设备设施停用、拆除与报废</w:t>
            </w:r>
          </w:p>
          <w:p>
            <w:pPr>
              <w:snapToGrid w:val="0"/>
              <w:spacing w:line="240" w:lineRule="auto"/>
              <w:rPr>
                <w:rFonts w:hint="eastAsia" w:ascii="宋体" w:hAnsi="宋体" w:eastAsia="仿宋" w:cs="仿宋"/>
                <w:sz w:val="24"/>
              </w:rPr>
            </w:pPr>
            <w:r>
              <w:rPr>
                <w:rFonts w:hint="eastAsia" w:ascii="宋体" w:hAnsi="宋体" w:eastAsia="仿宋" w:cs="仿宋"/>
                <w:sz w:val="24"/>
              </w:rPr>
              <w:t>设备设施的停用、拆除与报废应履行审批程序。</w:t>
            </w:r>
          </w:p>
          <w:p>
            <w:pPr>
              <w:snapToGrid w:val="0"/>
              <w:spacing w:line="240" w:lineRule="auto"/>
              <w:rPr>
                <w:rFonts w:hint="eastAsia" w:ascii="宋体" w:hAnsi="宋体" w:eastAsia="仿宋" w:cs="仿宋"/>
                <w:sz w:val="24"/>
              </w:rPr>
            </w:pPr>
            <w:r>
              <w:rPr>
                <w:rFonts w:hint="eastAsia" w:ascii="宋体" w:hAnsi="宋体" w:eastAsia="仿宋" w:cs="仿宋"/>
                <w:sz w:val="24"/>
              </w:rPr>
              <w:t>应进行安全风险分析，制定作业方案，在现场设置明显的报废或停用设备设施标志，对相关作业人员进行培训和安全技术交底，严格按方案和许可内容组织落实。</w:t>
            </w:r>
          </w:p>
        </w:tc>
        <w:tc>
          <w:tcPr>
            <w:tcW w:w="1657" w:type="pct"/>
            <w:vAlign w:val="center"/>
          </w:tcPr>
          <w:p>
            <w:pPr>
              <w:spacing w:line="240" w:lineRule="auto"/>
              <w:jc w:val="left"/>
              <w:rPr>
                <w:rFonts w:hint="eastAsia" w:ascii="宋体" w:hAnsi="宋体" w:eastAsia="仿宋" w:cs="仿宋"/>
                <w:sz w:val="24"/>
                <w:szCs w:val="24"/>
                <w:lang w:eastAsia="zh-CN"/>
              </w:rPr>
            </w:pPr>
            <w:r>
              <w:rPr>
                <w:rFonts w:hint="eastAsia" w:ascii="宋体" w:hAnsi="宋体" w:eastAsia="仿宋" w:cs="仿宋"/>
                <w:sz w:val="24"/>
                <w:szCs w:val="24"/>
              </w:rPr>
              <w:t>删除专项安全管理制度，在全生命周期制度里面包含了。内容与原文一致，修改表述方式更具体、精炼，对整个环节具体工作内容有了更落地的规定</w:t>
            </w:r>
            <w:r>
              <w:rPr>
                <w:rFonts w:hint="eastAsia" w:ascii="宋体" w:hAnsi="宋体" w:eastAsia="仿宋" w:cs="仿宋"/>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spacing w:line="240" w:lineRule="auto"/>
              <w:jc w:val="center"/>
              <w:rPr>
                <w:rFonts w:hint="eastAsia" w:ascii="宋体" w:hAnsi="宋体" w:eastAsia="仿宋" w:cs="仿宋"/>
                <w:sz w:val="24"/>
                <w:szCs w:val="24"/>
              </w:rPr>
            </w:pPr>
            <w:r>
              <w:rPr>
                <w:rFonts w:hint="eastAsia" w:ascii="宋体" w:hAnsi="宋体" w:eastAsia="仿宋" w:cs="仿宋"/>
                <w:sz w:val="24"/>
                <w:szCs w:val="24"/>
              </w:rPr>
              <w:t>88</w:t>
            </w:r>
          </w:p>
        </w:tc>
        <w:tc>
          <w:tcPr>
            <w:tcW w:w="1550" w:type="pct"/>
            <w:vAlign w:val="center"/>
          </w:tcPr>
          <w:p>
            <w:pPr>
              <w:pStyle w:val="4"/>
              <w:spacing w:before="120" w:after="120" w:line="240" w:lineRule="auto"/>
              <w:rPr>
                <w:rFonts w:hint="eastAsia" w:ascii="宋体" w:hAnsi="宋体" w:eastAsia="仿宋" w:cs="仿宋"/>
                <w:b w:val="0"/>
                <w:bCs w:val="0"/>
                <w:sz w:val="24"/>
                <w:szCs w:val="24"/>
              </w:rPr>
            </w:pPr>
            <w:r>
              <w:rPr>
                <w:rFonts w:hint="eastAsia" w:ascii="宋体" w:hAnsi="宋体" w:eastAsia="仿宋" w:cs="仿宋"/>
                <w:b w:val="0"/>
                <w:bCs w:val="0"/>
                <w:sz w:val="24"/>
                <w:szCs w:val="24"/>
              </w:rPr>
              <w:t>5.4.2.2作业行为</w:t>
            </w:r>
          </w:p>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企业应依法合理进行生产作业组织和管理</w:t>
            </w:r>
            <w:r>
              <w:rPr>
                <w:rFonts w:hint="eastAsia" w:ascii="宋体" w:hAnsi="宋体" w:eastAsia="仿宋" w:cs="仿宋"/>
                <w:sz w:val="24"/>
                <w:szCs w:val="24"/>
                <w:shd w:val="clear" w:fill="FFFFFF"/>
              </w:rPr>
              <w:t>，</w:t>
            </w:r>
            <w:r>
              <w:rPr>
                <w:rFonts w:hint="eastAsia" w:ascii="宋体" w:hAnsi="宋体" w:eastAsia="仿宋" w:cs="仿宋"/>
                <w:sz w:val="24"/>
                <w:szCs w:val="24"/>
              </w:rPr>
              <w:t>加强对从业人员作业行为的安全管理</w:t>
            </w:r>
            <w:r>
              <w:rPr>
                <w:rFonts w:hint="eastAsia" w:ascii="宋体" w:hAnsi="宋体" w:eastAsia="仿宋" w:cs="仿宋"/>
                <w:sz w:val="24"/>
                <w:szCs w:val="24"/>
                <w:shd w:val="clear" w:fill="FFFFFF"/>
              </w:rPr>
              <w:t>，</w:t>
            </w:r>
            <w:r>
              <w:rPr>
                <w:rFonts w:hint="eastAsia" w:ascii="宋体" w:hAnsi="宋体" w:eastAsia="仿宋" w:cs="仿宋"/>
                <w:sz w:val="24"/>
                <w:szCs w:val="24"/>
              </w:rPr>
              <w:t>对设备设施、工艺技术以及从业人员作业行为等进行安全风险辨识</w:t>
            </w:r>
            <w:r>
              <w:rPr>
                <w:rFonts w:hint="eastAsia" w:ascii="宋体" w:hAnsi="宋体" w:eastAsia="仿宋" w:cs="仿宋"/>
                <w:sz w:val="24"/>
                <w:szCs w:val="24"/>
                <w:shd w:val="clear" w:fill="FFFFFF"/>
              </w:rPr>
              <w:t>，</w:t>
            </w:r>
            <w:r>
              <w:rPr>
                <w:rFonts w:hint="eastAsia" w:ascii="宋体" w:hAnsi="宋体" w:eastAsia="仿宋" w:cs="仿宋"/>
                <w:sz w:val="24"/>
                <w:szCs w:val="24"/>
              </w:rPr>
              <w:t>采取相应的措施</w:t>
            </w:r>
            <w:r>
              <w:rPr>
                <w:rFonts w:hint="eastAsia" w:ascii="宋体" w:hAnsi="宋体" w:eastAsia="仿宋" w:cs="仿宋"/>
                <w:sz w:val="24"/>
                <w:szCs w:val="24"/>
                <w:shd w:val="clear" w:fill="FFFFFF"/>
              </w:rPr>
              <w:t>，</w:t>
            </w:r>
            <w:r>
              <w:rPr>
                <w:rFonts w:hint="eastAsia" w:ascii="宋体" w:hAnsi="宋体" w:eastAsia="仿宋" w:cs="仿宋"/>
                <w:sz w:val="24"/>
                <w:szCs w:val="24"/>
              </w:rPr>
              <w:t>控制作业行为安全风险。企业应监督、指导从业人员遵守安全生产和职业卫生规章制度、操作规程</w:t>
            </w:r>
            <w:r>
              <w:rPr>
                <w:rFonts w:hint="eastAsia" w:ascii="宋体" w:hAnsi="宋体" w:eastAsia="仿宋" w:cs="仿宋"/>
                <w:sz w:val="24"/>
                <w:szCs w:val="24"/>
                <w:shd w:val="clear" w:fill="FFFFFF"/>
              </w:rPr>
              <w:t>，</w:t>
            </w:r>
            <w:r>
              <w:rPr>
                <w:rFonts w:hint="eastAsia" w:ascii="宋体" w:hAnsi="宋体" w:eastAsia="仿宋" w:cs="仿宋"/>
                <w:sz w:val="24"/>
                <w:szCs w:val="24"/>
              </w:rPr>
              <w:t>杜绝违章指挥、违规作业和违反劳动纪律的“三违”行为。</w:t>
            </w:r>
          </w:p>
          <w:p>
            <w:pPr>
              <w:spacing w:line="240" w:lineRule="auto"/>
              <w:jc w:val="left"/>
              <w:rPr>
                <w:rFonts w:hint="eastAsia" w:ascii="宋体" w:hAnsi="宋体" w:eastAsia="仿宋" w:cs="仿宋"/>
                <w:sz w:val="24"/>
                <w:szCs w:val="24"/>
                <w:lang w:eastAsia="zh-CN"/>
              </w:rPr>
            </w:pPr>
            <w:r>
              <w:rPr>
                <w:rFonts w:hint="eastAsia" w:ascii="宋体" w:hAnsi="宋体" w:eastAsia="仿宋" w:cs="仿宋"/>
                <w:sz w:val="24"/>
                <w:szCs w:val="24"/>
              </w:rPr>
              <w:t>企业应为从业人员配备与岗位安全风险相适应的、符合GB/T11651规定的个体防护装备与用品并监督、指导从业人员按照有关规定正确佩戴、使用、维护、保养和检查个体防护装备与用品</w:t>
            </w:r>
            <w:r>
              <w:rPr>
                <w:rFonts w:hint="eastAsia" w:ascii="宋体" w:hAnsi="宋体" w:eastAsia="仿宋" w:cs="仿宋"/>
                <w:sz w:val="24"/>
                <w:szCs w:val="24"/>
                <w:lang w:eastAsia="zh-CN"/>
              </w:rPr>
              <w:t>。</w:t>
            </w:r>
          </w:p>
        </w:tc>
        <w:tc>
          <w:tcPr>
            <w:tcW w:w="1535" w:type="pct"/>
            <w:vAlign w:val="center"/>
          </w:tcPr>
          <w:p>
            <w:pPr>
              <w:spacing w:line="240" w:lineRule="auto"/>
              <w:rPr>
                <w:rFonts w:hint="eastAsia" w:ascii="宋体" w:hAnsi="宋体" w:eastAsia="仿宋" w:cs="仿宋"/>
                <w:sz w:val="24"/>
                <w:szCs w:val="24"/>
              </w:rPr>
            </w:pPr>
            <w:r>
              <w:rPr>
                <w:rFonts w:hint="eastAsia" w:ascii="宋体" w:hAnsi="宋体" w:eastAsia="仿宋" w:cs="仿宋"/>
                <w:sz w:val="24"/>
                <w:szCs w:val="24"/>
              </w:rPr>
              <w:t>--</w:t>
            </w:r>
          </w:p>
        </w:tc>
        <w:tc>
          <w:tcPr>
            <w:tcW w:w="1657" w:type="pct"/>
            <w:vAlign w:val="center"/>
          </w:tcPr>
          <w:p>
            <w:pPr>
              <w:spacing w:line="240" w:lineRule="auto"/>
              <w:jc w:val="left"/>
              <w:rPr>
                <w:rFonts w:hint="eastAsia" w:ascii="宋体" w:hAnsi="宋体" w:eastAsia="仿宋" w:cs="仿宋"/>
                <w:sz w:val="24"/>
                <w:szCs w:val="24"/>
                <w:lang w:eastAsia="zh-CN"/>
              </w:rPr>
            </w:pPr>
            <w:r>
              <w:rPr>
                <w:rFonts w:hint="eastAsia" w:ascii="宋体" w:hAnsi="宋体" w:eastAsia="仿宋" w:cs="仿宋"/>
                <w:sz w:val="24"/>
                <w:szCs w:val="24"/>
              </w:rPr>
              <w:t>删除，内容调整到9.4 行为管控中进行规定</w:t>
            </w:r>
            <w:r>
              <w:rPr>
                <w:rFonts w:hint="eastAsia" w:ascii="宋体" w:hAnsi="宋体" w:eastAsia="仿宋" w:cs="仿宋"/>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spacing w:line="240" w:lineRule="auto"/>
              <w:jc w:val="center"/>
              <w:rPr>
                <w:rFonts w:hint="eastAsia" w:ascii="宋体" w:hAnsi="宋体" w:eastAsia="仿宋" w:cs="仿宋"/>
                <w:sz w:val="24"/>
                <w:szCs w:val="24"/>
              </w:rPr>
            </w:pPr>
            <w:r>
              <w:rPr>
                <w:rFonts w:hint="eastAsia" w:ascii="宋体" w:hAnsi="宋体" w:eastAsia="仿宋" w:cs="仿宋"/>
                <w:sz w:val="24"/>
                <w:szCs w:val="24"/>
              </w:rPr>
              <w:t>89</w:t>
            </w:r>
          </w:p>
        </w:tc>
        <w:tc>
          <w:tcPr>
            <w:tcW w:w="1550" w:type="pct"/>
            <w:vAlign w:val="center"/>
          </w:tcPr>
          <w:p>
            <w:pPr>
              <w:pStyle w:val="4"/>
              <w:spacing w:before="120" w:after="120" w:line="240" w:lineRule="auto"/>
              <w:rPr>
                <w:rFonts w:hint="eastAsia" w:ascii="宋体" w:hAnsi="宋体" w:eastAsia="仿宋" w:cs="仿宋"/>
                <w:b w:val="0"/>
                <w:bCs w:val="0"/>
                <w:sz w:val="24"/>
                <w:szCs w:val="24"/>
              </w:rPr>
            </w:pPr>
            <w:r>
              <w:rPr>
                <w:rFonts w:hint="eastAsia" w:ascii="宋体" w:hAnsi="宋体" w:eastAsia="仿宋" w:cs="仿宋"/>
                <w:b w:val="0"/>
                <w:bCs w:val="0"/>
                <w:sz w:val="24"/>
                <w:szCs w:val="24"/>
              </w:rPr>
              <w:t>5.4.2.3 岗位达标</w:t>
            </w:r>
          </w:p>
          <w:p>
            <w:pPr>
              <w:pStyle w:val="4"/>
              <w:spacing w:before="120" w:after="120" w:line="240" w:lineRule="auto"/>
              <w:rPr>
                <w:rFonts w:hint="eastAsia" w:ascii="宋体" w:hAnsi="宋体" w:eastAsia="仿宋" w:cs="仿宋"/>
                <w:b w:val="0"/>
                <w:bCs w:val="0"/>
                <w:sz w:val="24"/>
                <w:szCs w:val="24"/>
              </w:rPr>
            </w:pPr>
            <w:r>
              <w:rPr>
                <w:rFonts w:hint="eastAsia" w:ascii="宋体" w:hAnsi="宋体" w:eastAsia="仿宋" w:cs="仿宋"/>
                <w:b w:val="0"/>
                <w:bCs w:val="0"/>
                <w:sz w:val="24"/>
                <w:szCs w:val="24"/>
              </w:rPr>
              <w:t>企业应建立班组安全活动管理制度</w:t>
            </w:r>
            <w:r>
              <w:rPr>
                <w:rFonts w:hint="eastAsia" w:ascii="宋体" w:hAnsi="宋体" w:eastAsia="仿宋" w:cs="仿宋"/>
                <w:b w:val="0"/>
                <w:bCs w:val="0"/>
                <w:sz w:val="24"/>
                <w:szCs w:val="24"/>
                <w:shd w:val="clear" w:fill="FFFFFF"/>
              </w:rPr>
              <w:t>，</w:t>
            </w:r>
            <w:r>
              <w:rPr>
                <w:rFonts w:hint="eastAsia" w:ascii="宋体" w:hAnsi="宋体" w:eastAsia="仿宋" w:cs="仿宋"/>
                <w:b w:val="0"/>
                <w:bCs w:val="0"/>
                <w:sz w:val="24"/>
                <w:szCs w:val="24"/>
              </w:rPr>
              <w:t>开展岗位达标活动</w:t>
            </w:r>
            <w:r>
              <w:rPr>
                <w:rFonts w:hint="eastAsia" w:ascii="宋体" w:hAnsi="宋体" w:eastAsia="仿宋" w:cs="仿宋"/>
                <w:b w:val="0"/>
                <w:bCs w:val="0"/>
                <w:sz w:val="24"/>
                <w:szCs w:val="24"/>
                <w:shd w:val="clear" w:fill="FFFFFF"/>
              </w:rPr>
              <w:t>，</w:t>
            </w:r>
            <w:r>
              <w:rPr>
                <w:rFonts w:hint="eastAsia" w:ascii="宋体" w:hAnsi="宋体" w:eastAsia="仿宋" w:cs="仿宋"/>
                <w:b w:val="0"/>
                <w:bCs w:val="0"/>
                <w:sz w:val="24"/>
                <w:szCs w:val="24"/>
              </w:rPr>
              <w:t>明确岗位达标的内容和要求。从业人员应熟练掌握本岗位安全职责、安全生产和职业卫生操作规程、安全风险及管控措施、防护用品使用、自救互救及应急处置措施。</w:t>
            </w:r>
          </w:p>
          <w:p>
            <w:pPr>
              <w:spacing w:line="240" w:lineRule="auto"/>
              <w:jc w:val="left"/>
              <w:rPr>
                <w:rFonts w:hint="eastAsia" w:ascii="宋体" w:hAnsi="宋体" w:eastAsia="仿宋" w:cs="仿宋"/>
                <w:sz w:val="24"/>
                <w:szCs w:val="24"/>
                <w:lang w:eastAsia="zh-CN"/>
              </w:rPr>
            </w:pPr>
            <w:r>
              <w:rPr>
                <w:rFonts w:hint="eastAsia" w:ascii="宋体" w:hAnsi="宋体" w:eastAsia="仿宋" w:cs="仿宋"/>
                <w:sz w:val="24"/>
                <w:szCs w:val="24"/>
              </w:rPr>
              <w:t>各班组应按照有关规定开展安全生产和职业卫生教育培训、安全操作技能训练、岗位作业危险预知、作业现场隐患排查、事故分析等工作</w:t>
            </w:r>
            <w:r>
              <w:rPr>
                <w:rFonts w:hint="eastAsia" w:ascii="宋体" w:hAnsi="宋体" w:eastAsia="仿宋" w:cs="仿宋"/>
                <w:sz w:val="24"/>
                <w:szCs w:val="24"/>
                <w:shd w:val="clear" w:fill="FFFFFF"/>
              </w:rPr>
              <w:t>，</w:t>
            </w:r>
            <w:r>
              <w:rPr>
                <w:rFonts w:hint="eastAsia" w:ascii="宋体" w:hAnsi="宋体" w:eastAsia="仿宋" w:cs="仿宋"/>
                <w:sz w:val="24"/>
                <w:szCs w:val="24"/>
              </w:rPr>
              <w:t>并做好记录</w:t>
            </w:r>
            <w:r>
              <w:rPr>
                <w:rFonts w:hint="eastAsia" w:ascii="宋体" w:hAnsi="宋体" w:eastAsia="仿宋" w:cs="仿宋"/>
                <w:sz w:val="24"/>
                <w:szCs w:val="24"/>
                <w:lang w:eastAsia="zh-CN"/>
              </w:rPr>
              <w:t>。</w:t>
            </w:r>
          </w:p>
        </w:tc>
        <w:tc>
          <w:tcPr>
            <w:tcW w:w="1535" w:type="pct"/>
            <w:vAlign w:val="center"/>
          </w:tcPr>
          <w:p>
            <w:pPr>
              <w:spacing w:line="240" w:lineRule="auto"/>
              <w:rPr>
                <w:rFonts w:hint="eastAsia" w:ascii="宋体" w:hAnsi="宋体" w:eastAsia="仿宋" w:cs="仿宋"/>
                <w:sz w:val="24"/>
                <w:szCs w:val="24"/>
              </w:rPr>
            </w:pPr>
            <w:r>
              <w:rPr>
                <w:rFonts w:hint="eastAsia" w:ascii="宋体" w:hAnsi="宋体" w:eastAsia="仿宋" w:cs="仿宋"/>
                <w:sz w:val="24"/>
                <w:szCs w:val="24"/>
              </w:rPr>
              <w:t>--</w:t>
            </w:r>
          </w:p>
        </w:tc>
        <w:tc>
          <w:tcPr>
            <w:tcW w:w="1657" w:type="pct"/>
            <w:vAlign w:val="center"/>
          </w:tcPr>
          <w:p>
            <w:pPr>
              <w:pStyle w:val="4"/>
              <w:spacing w:before="120" w:after="120" w:line="240" w:lineRule="auto"/>
              <w:rPr>
                <w:rFonts w:hint="eastAsia" w:ascii="宋体" w:hAnsi="宋体" w:eastAsia="仿宋" w:cs="仿宋"/>
                <w:b w:val="0"/>
                <w:bCs w:val="0"/>
                <w:sz w:val="24"/>
                <w:szCs w:val="24"/>
                <w:lang w:eastAsia="zh-CN"/>
              </w:rPr>
            </w:pPr>
            <w:r>
              <w:rPr>
                <w:rFonts w:hint="eastAsia" w:ascii="宋体" w:hAnsi="宋体" w:eastAsia="仿宋" w:cs="仿宋"/>
                <w:b w:val="0"/>
                <w:bCs w:val="0"/>
                <w:sz w:val="24"/>
                <w:szCs w:val="24"/>
              </w:rPr>
              <w:t>删除，内容调整到5.1.4 班组进行规定</w:t>
            </w:r>
            <w:r>
              <w:rPr>
                <w:rFonts w:hint="eastAsia" w:ascii="宋体" w:hAnsi="宋体" w:eastAsia="仿宋" w:cs="仿宋"/>
                <w:b w:val="0"/>
                <w:bCs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spacing w:line="240" w:lineRule="auto"/>
              <w:jc w:val="center"/>
              <w:rPr>
                <w:rFonts w:hint="eastAsia" w:ascii="宋体" w:hAnsi="宋体" w:eastAsia="仿宋" w:cs="仿宋"/>
                <w:sz w:val="24"/>
                <w:szCs w:val="24"/>
              </w:rPr>
            </w:pPr>
            <w:r>
              <w:rPr>
                <w:rFonts w:hint="eastAsia" w:ascii="宋体" w:hAnsi="宋体" w:eastAsia="仿宋" w:cs="仿宋"/>
                <w:sz w:val="24"/>
                <w:szCs w:val="24"/>
              </w:rPr>
              <w:t>90</w:t>
            </w:r>
          </w:p>
        </w:tc>
        <w:tc>
          <w:tcPr>
            <w:tcW w:w="1550" w:type="pct"/>
            <w:vAlign w:val="center"/>
          </w:tcPr>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企业应对临近高压输电线路作业、危险场所动火作业、有</w:t>
            </w:r>
            <w:r>
              <w:rPr>
                <w:rFonts w:hint="eastAsia" w:ascii="宋体" w:hAnsi="宋体" w:eastAsia="仿宋" w:cs="仿宋"/>
                <w:sz w:val="24"/>
                <w:szCs w:val="24"/>
                <w:shd w:val="clear" w:color="auto" w:fill="FFFFFF"/>
                <w:lang w:eastAsia="zh-CN"/>
              </w:rPr>
              <w:t>（</w:t>
            </w:r>
            <w:r>
              <w:rPr>
                <w:rFonts w:hint="eastAsia" w:ascii="宋体" w:hAnsi="宋体" w:eastAsia="仿宋" w:cs="仿宋"/>
                <w:sz w:val="24"/>
                <w:szCs w:val="24"/>
              </w:rPr>
              <w:t>受</w:t>
            </w:r>
            <w:r>
              <w:rPr>
                <w:rFonts w:hint="eastAsia" w:ascii="宋体" w:hAnsi="宋体" w:eastAsia="仿宋" w:cs="仿宋"/>
                <w:sz w:val="24"/>
                <w:szCs w:val="24"/>
                <w:shd w:val="clear" w:color="auto" w:fill="FFFFFF"/>
                <w:lang w:eastAsia="zh-CN"/>
              </w:rPr>
              <w:t>）</w:t>
            </w:r>
            <w:r>
              <w:rPr>
                <w:rFonts w:hint="eastAsia" w:ascii="宋体" w:hAnsi="宋体" w:eastAsia="仿宋" w:cs="仿宋"/>
                <w:sz w:val="24"/>
                <w:szCs w:val="24"/>
              </w:rPr>
              <w:t>限空间作业、临时用电作业、爆破作业、封道作业等危险性较大的作业活动</w:t>
            </w:r>
            <w:r>
              <w:rPr>
                <w:rFonts w:hint="eastAsia" w:ascii="宋体" w:hAnsi="宋体" w:eastAsia="仿宋" w:cs="仿宋"/>
                <w:sz w:val="24"/>
                <w:szCs w:val="24"/>
                <w:shd w:val="clear" w:fill="FFFFFF"/>
              </w:rPr>
              <w:t>，</w:t>
            </w:r>
            <w:r>
              <w:rPr>
                <w:rFonts w:hint="eastAsia" w:ascii="宋体" w:hAnsi="宋体" w:eastAsia="仿宋" w:cs="仿宋"/>
                <w:sz w:val="24"/>
                <w:szCs w:val="24"/>
              </w:rPr>
              <w:t>实施作业许可管理</w:t>
            </w:r>
            <w:r>
              <w:rPr>
                <w:rFonts w:hint="eastAsia" w:ascii="宋体" w:hAnsi="宋体" w:eastAsia="仿宋" w:cs="仿宋"/>
                <w:sz w:val="24"/>
                <w:szCs w:val="24"/>
                <w:shd w:val="clear" w:fill="FFFFFF"/>
              </w:rPr>
              <w:t>，</w:t>
            </w:r>
            <w:r>
              <w:rPr>
                <w:rFonts w:hint="eastAsia" w:ascii="宋体" w:hAnsi="宋体" w:eastAsia="仿宋" w:cs="仿宋"/>
                <w:sz w:val="24"/>
                <w:szCs w:val="24"/>
              </w:rPr>
              <w:t>严格履行作业许可审批手续。作业许可应包含安全风险分析、安全及职业病危害防护措施、应急处置等内容。作业许可实行闭环管理。</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10.3 危险作业</w:t>
            </w:r>
          </w:p>
          <w:p>
            <w:pPr>
              <w:snapToGrid w:val="0"/>
              <w:spacing w:line="240" w:lineRule="auto"/>
              <w:rPr>
                <w:rFonts w:hint="eastAsia" w:ascii="宋体" w:hAnsi="宋体" w:eastAsia="仿宋" w:cs="仿宋"/>
                <w:sz w:val="24"/>
              </w:rPr>
            </w:pPr>
            <w:r>
              <w:rPr>
                <w:rFonts w:hint="eastAsia" w:ascii="宋体" w:hAnsi="宋体" w:eastAsia="仿宋" w:cs="仿宋"/>
                <w:sz w:val="24"/>
              </w:rPr>
              <w:t>企业应建立危险作业的管理要求，明确危险作业的情形、分级、计划、许可、实施、监督检查等内容，对作业前、作业中、作业后进行闭环管理。</w:t>
            </w:r>
          </w:p>
          <w:p>
            <w:pPr>
              <w:snapToGrid w:val="0"/>
              <w:spacing w:line="240" w:lineRule="auto"/>
              <w:rPr>
                <w:rFonts w:hint="eastAsia" w:ascii="宋体" w:hAnsi="宋体" w:eastAsia="仿宋" w:cs="仿宋"/>
                <w:sz w:val="24"/>
              </w:rPr>
            </w:pPr>
            <w:r>
              <w:rPr>
                <w:rFonts w:hint="eastAsia" w:ascii="宋体" w:hAnsi="宋体" w:eastAsia="仿宋" w:cs="仿宋"/>
                <w:sz w:val="24"/>
              </w:rPr>
              <w:t>危险作业前，应开展安全风险分析，明确安全防护措施与应急措施，严格履行作业许可审批程序。</w:t>
            </w:r>
          </w:p>
          <w:p>
            <w:pPr>
              <w:snapToGrid w:val="0"/>
              <w:spacing w:line="240" w:lineRule="auto"/>
              <w:rPr>
                <w:rFonts w:hint="eastAsia" w:ascii="宋体" w:hAnsi="宋体" w:eastAsia="仿宋" w:cs="仿宋"/>
                <w:sz w:val="24"/>
              </w:rPr>
            </w:pPr>
            <w:r>
              <w:rPr>
                <w:rFonts w:hint="eastAsia" w:ascii="宋体" w:hAnsi="宋体" w:eastAsia="仿宋" w:cs="仿宋"/>
                <w:sz w:val="24"/>
              </w:rPr>
              <w:t>应检查作业人员准备情况，应对作业条件进行现场确认，并进行安全技术交底。</w:t>
            </w:r>
          </w:p>
          <w:p>
            <w:pPr>
              <w:snapToGrid w:val="0"/>
              <w:spacing w:line="240" w:lineRule="auto"/>
              <w:rPr>
                <w:rFonts w:hint="eastAsia" w:ascii="宋体" w:hAnsi="宋体" w:eastAsia="仿宋" w:cs="仿宋"/>
                <w:sz w:val="24"/>
              </w:rPr>
            </w:pPr>
            <w:r>
              <w:rPr>
                <w:rFonts w:hint="eastAsia" w:ascii="宋体" w:hAnsi="宋体" w:eastAsia="仿宋" w:cs="仿宋"/>
                <w:sz w:val="24"/>
              </w:rPr>
              <w:t>危险作业过程中，应按照操作规程和安全技术措施开展作业，指定专人现场监护，宜全程视频监控。</w:t>
            </w:r>
          </w:p>
          <w:p>
            <w:pPr>
              <w:snapToGrid w:val="0"/>
              <w:spacing w:line="240" w:lineRule="auto"/>
              <w:rPr>
                <w:rFonts w:hint="eastAsia" w:ascii="宋体" w:hAnsi="宋体" w:eastAsia="仿宋" w:cs="仿宋"/>
                <w:sz w:val="24"/>
              </w:rPr>
            </w:pPr>
            <w:r>
              <w:rPr>
                <w:rFonts w:hint="eastAsia" w:ascii="宋体" w:hAnsi="宋体" w:eastAsia="仿宋" w:cs="仿宋"/>
                <w:sz w:val="24"/>
              </w:rPr>
              <w:t>危险作业结束后，应进行完工确认。</w:t>
            </w:r>
          </w:p>
        </w:tc>
        <w:tc>
          <w:tcPr>
            <w:tcW w:w="1657" w:type="pct"/>
            <w:vAlign w:val="center"/>
          </w:tcPr>
          <w:p>
            <w:pPr>
              <w:spacing w:line="240" w:lineRule="auto"/>
              <w:jc w:val="left"/>
              <w:rPr>
                <w:rFonts w:hint="eastAsia" w:ascii="宋体" w:hAnsi="宋体" w:eastAsia="仿宋" w:cs="仿宋"/>
                <w:sz w:val="24"/>
                <w:szCs w:val="24"/>
                <w:lang w:eastAsia="zh-CN"/>
              </w:rPr>
            </w:pPr>
            <w:r>
              <w:rPr>
                <w:rFonts w:hint="eastAsia" w:ascii="宋体" w:hAnsi="宋体" w:eastAsia="仿宋" w:cs="仿宋"/>
                <w:sz w:val="24"/>
                <w:szCs w:val="24"/>
              </w:rPr>
              <w:t>将原条款改为了三级要素，结合企业实际，对原标准表述进行修改完善，分阶段补充管理要求，</w:t>
            </w:r>
            <w:r>
              <w:rPr>
                <w:rFonts w:hint="eastAsia" w:ascii="宋体" w:hAnsi="宋体" w:eastAsia="仿宋" w:cs="仿宋"/>
                <w:sz w:val="24"/>
                <w:szCs w:val="24"/>
                <w:lang w:bidi="ar"/>
              </w:rPr>
              <w:t>明确了具体工作，提高对企业的指导性和可操作性</w:t>
            </w:r>
            <w:r>
              <w:rPr>
                <w:rFonts w:hint="eastAsia" w:ascii="宋体" w:hAnsi="宋体" w:eastAsia="仿宋" w:cs="仿宋"/>
                <w:sz w:val="24"/>
                <w:szCs w:val="24"/>
                <w:lang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57" w:type="pct"/>
            <w:vAlign w:val="center"/>
          </w:tcPr>
          <w:p>
            <w:pPr>
              <w:spacing w:line="240" w:lineRule="auto"/>
              <w:jc w:val="center"/>
              <w:rPr>
                <w:rFonts w:hint="eastAsia" w:ascii="宋体" w:hAnsi="宋体" w:eastAsia="仿宋" w:cs="仿宋"/>
                <w:sz w:val="24"/>
                <w:szCs w:val="24"/>
              </w:rPr>
            </w:pPr>
            <w:r>
              <w:rPr>
                <w:rFonts w:hint="eastAsia" w:ascii="宋体" w:hAnsi="宋体" w:eastAsia="仿宋" w:cs="仿宋"/>
                <w:sz w:val="24"/>
                <w:szCs w:val="24"/>
              </w:rPr>
              <w:t>91</w:t>
            </w:r>
          </w:p>
        </w:tc>
        <w:tc>
          <w:tcPr>
            <w:tcW w:w="1550" w:type="pct"/>
            <w:vAlign w:val="center"/>
          </w:tcPr>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10.4 异常处置</w:t>
            </w:r>
          </w:p>
          <w:p>
            <w:pPr>
              <w:snapToGrid w:val="0"/>
              <w:spacing w:line="240" w:lineRule="auto"/>
              <w:rPr>
                <w:rFonts w:hint="eastAsia" w:ascii="宋体" w:hAnsi="宋体" w:eastAsia="仿宋" w:cs="仿宋"/>
                <w:sz w:val="24"/>
              </w:rPr>
            </w:pPr>
            <w:r>
              <w:rPr>
                <w:rFonts w:hint="eastAsia" w:ascii="宋体" w:hAnsi="宋体" w:eastAsia="仿宋" w:cs="仿宋"/>
                <w:sz w:val="24"/>
              </w:rPr>
              <w:t>企业应建立生产过程中异常处置的管理要求，明确异常情形、处置流程等内容。</w:t>
            </w:r>
          </w:p>
          <w:p>
            <w:pPr>
              <w:snapToGrid w:val="0"/>
              <w:spacing w:line="240" w:lineRule="auto"/>
              <w:rPr>
                <w:rFonts w:hint="eastAsia" w:ascii="宋体" w:hAnsi="宋体" w:eastAsia="仿宋" w:cs="仿宋"/>
                <w:sz w:val="24"/>
              </w:rPr>
            </w:pPr>
            <w:r>
              <w:rPr>
                <w:rFonts w:hint="eastAsia" w:ascii="宋体" w:hAnsi="宋体" w:eastAsia="仿宋" w:cs="仿宋"/>
                <w:sz w:val="24"/>
              </w:rPr>
              <w:t>发现异常情况时，从业人员应立即报告、研判风险，采取有效措施予以处置。涉及危险作业的，应及时汇报本单位负责人。出现直接危及人身安全的紧急情况时，应立即停止作业、撤出人员。现场管理人员应根据异常情形实际情况，科学组织现场处置。</w:t>
            </w:r>
          </w:p>
          <w:p>
            <w:pPr>
              <w:snapToGrid w:val="0"/>
              <w:spacing w:line="240" w:lineRule="auto"/>
              <w:rPr>
                <w:rFonts w:hint="eastAsia" w:ascii="宋体" w:hAnsi="宋体" w:eastAsia="仿宋" w:cs="仿宋"/>
                <w:sz w:val="24"/>
              </w:rPr>
            </w:pPr>
            <w:r>
              <w:rPr>
                <w:rFonts w:hint="eastAsia" w:ascii="宋体" w:hAnsi="宋体" w:eastAsia="仿宋" w:cs="仿宋"/>
                <w:sz w:val="24"/>
              </w:rPr>
              <w:t>企业应对异常情况和处置结果进行回顾，根据实际情况完善异常处置流程，提升异常处置能力。</w:t>
            </w:r>
          </w:p>
        </w:tc>
        <w:tc>
          <w:tcPr>
            <w:tcW w:w="1657" w:type="pct"/>
            <w:vAlign w:val="center"/>
          </w:tcPr>
          <w:p>
            <w:pPr>
              <w:widowControl/>
              <w:autoSpaceDE w:val="0"/>
              <w:autoSpaceDN w:val="0"/>
              <w:spacing w:line="240" w:lineRule="auto"/>
              <w:rPr>
                <w:rFonts w:hint="eastAsia" w:ascii="宋体" w:hAnsi="宋体" w:eastAsia="仿宋" w:cs="仿宋"/>
                <w:kern w:val="0"/>
                <w:sz w:val="24"/>
                <w:szCs w:val="24"/>
              </w:rPr>
            </w:pPr>
            <w:r>
              <w:rPr>
                <w:rFonts w:hint="eastAsia" w:ascii="宋体" w:hAnsi="宋体" w:eastAsia="仿宋" w:cs="仿宋"/>
                <w:kern w:val="0"/>
                <w:sz w:val="24"/>
                <w:szCs w:val="24"/>
              </w:rPr>
              <w:t>增加要素。参考《中华人民共和国安全生产法》第五十五条</w:t>
            </w:r>
            <w:r>
              <w:rPr>
                <w:rFonts w:hint="eastAsia" w:ascii="宋体" w:hAnsi="宋体" w:eastAsia="仿宋" w:cs="仿宋"/>
                <w:kern w:val="0"/>
                <w:sz w:val="24"/>
                <w:szCs w:val="24"/>
                <w:shd w:val="clear" w:color="auto" w:fill="FFFFFF"/>
              </w:rPr>
              <w:t xml:space="preserve"> </w:t>
            </w:r>
            <w:r>
              <w:rPr>
                <w:rFonts w:hint="eastAsia" w:ascii="宋体" w:hAnsi="宋体" w:eastAsia="仿宋" w:cs="仿宋"/>
                <w:kern w:val="0"/>
                <w:sz w:val="24"/>
                <w:szCs w:val="24"/>
              </w:rPr>
              <w:t>从业人员发现直接危及人身安全的紧急情况时，有权停止作业或者在采取可能的应急措施后撤离作业场所。</w:t>
            </w:r>
          </w:p>
          <w:p>
            <w:pPr>
              <w:widowControl/>
              <w:autoSpaceDE w:val="0"/>
              <w:autoSpaceDN w:val="0"/>
              <w:spacing w:line="240" w:lineRule="auto"/>
              <w:rPr>
                <w:rFonts w:hint="eastAsia" w:ascii="宋体" w:hAnsi="宋体" w:eastAsia="仿宋" w:cs="仿宋"/>
                <w:sz w:val="24"/>
                <w:szCs w:val="24"/>
                <w:lang w:eastAsia="zh-CN"/>
              </w:rPr>
            </w:pPr>
            <w:r>
              <w:rPr>
                <w:rFonts w:hint="eastAsia" w:ascii="宋体" w:hAnsi="宋体" w:eastAsia="仿宋" w:cs="仿宋"/>
                <w:kern w:val="0"/>
                <w:sz w:val="24"/>
                <w:szCs w:val="24"/>
              </w:rPr>
              <w:t>企业要研究分析本单位可能发生的各类异常情形，制定异常处置方案，建立防护措施，开展分类分级管理，作为“第三道防线（应急处置与救援）”的前向延伸。异常情形出现后，从业人员能够按规定进行科学处置，可有效防止事故的发生或降低事故造成的损失，最大程度地保障人员和设备设施的安全</w:t>
            </w:r>
            <w:r>
              <w:rPr>
                <w:rFonts w:hint="eastAsia" w:ascii="宋体" w:hAnsi="宋体" w:eastAsia="仿宋" w:cs="仿宋"/>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spacing w:line="240" w:lineRule="auto"/>
              <w:jc w:val="center"/>
              <w:rPr>
                <w:rFonts w:hint="eastAsia" w:ascii="宋体" w:hAnsi="宋体" w:eastAsia="仿宋" w:cs="仿宋"/>
                <w:sz w:val="24"/>
                <w:szCs w:val="24"/>
              </w:rPr>
            </w:pPr>
            <w:r>
              <w:rPr>
                <w:rFonts w:hint="eastAsia" w:ascii="宋体" w:hAnsi="宋体" w:eastAsia="仿宋" w:cs="仿宋"/>
                <w:sz w:val="24"/>
                <w:szCs w:val="24"/>
              </w:rPr>
              <w:t>92</w:t>
            </w:r>
          </w:p>
        </w:tc>
        <w:tc>
          <w:tcPr>
            <w:tcW w:w="1550" w:type="pct"/>
            <w:vAlign w:val="center"/>
          </w:tcPr>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10.5 变更管理</w:t>
            </w:r>
          </w:p>
          <w:p>
            <w:pPr>
              <w:snapToGrid w:val="0"/>
              <w:spacing w:line="240" w:lineRule="auto"/>
              <w:rPr>
                <w:rFonts w:hint="eastAsia" w:ascii="宋体" w:hAnsi="宋体" w:eastAsia="仿宋" w:cs="仿宋"/>
                <w:sz w:val="24"/>
              </w:rPr>
            </w:pPr>
            <w:r>
              <w:rPr>
                <w:rFonts w:hint="eastAsia" w:ascii="宋体" w:hAnsi="宋体" w:eastAsia="仿宋" w:cs="仿宋"/>
                <w:sz w:val="24"/>
              </w:rPr>
              <w:t>企业应建立变更的管理要求，明确变更的申请、审批、实施、验收等内容。</w:t>
            </w:r>
          </w:p>
          <w:p>
            <w:pPr>
              <w:snapToGrid w:val="0"/>
              <w:spacing w:line="240" w:lineRule="auto"/>
              <w:rPr>
                <w:rFonts w:hint="eastAsia" w:ascii="宋体" w:hAnsi="宋体" w:eastAsia="仿宋" w:cs="仿宋"/>
                <w:sz w:val="24"/>
              </w:rPr>
            </w:pPr>
            <w:r>
              <w:rPr>
                <w:rFonts w:hint="eastAsia" w:ascii="宋体" w:hAnsi="宋体" w:eastAsia="仿宋" w:cs="仿宋"/>
                <w:sz w:val="24"/>
              </w:rPr>
              <w:t>应对变更可能导致的安全风险及其影响进行分析，制定相应的控制措施，履行审批程序，并告知和培训相关从业人员。</w:t>
            </w:r>
          </w:p>
          <w:p>
            <w:pPr>
              <w:snapToGrid w:val="0"/>
              <w:spacing w:line="240" w:lineRule="auto"/>
              <w:rPr>
                <w:rFonts w:hint="eastAsia" w:ascii="宋体" w:hAnsi="宋体" w:eastAsia="仿宋" w:cs="仿宋"/>
                <w:sz w:val="24"/>
              </w:rPr>
            </w:pPr>
            <w:r>
              <w:rPr>
                <w:rFonts w:hint="eastAsia" w:ascii="宋体" w:hAnsi="宋体" w:eastAsia="仿宋" w:cs="仿宋"/>
                <w:sz w:val="24"/>
              </w:rPr>
              <w:t>应对机构、人员、管理、工艺技术、设备设施、作业环境等变更的风险进行过程管控，并组织开展变更验收。</w:t>
            </w:r>
          </w:p>
          <w:p>
            <w:pPr>
              <w:snapToGrid w:val="0"/>
              <w:spacing w:line="240" w:lineRule="auto"/>
              <w:rPr>
                <w:rFonts w:hint="eastAsia" w:ascii="宋体" w:hAnsi="宋体" w:eastAsia="仿宋" w:cs="仿宋"/>
                <w:sz w:val="24"/>
              </w:rPr>
            </w:pPr>
            <w:r>
              <w:rPr>
                <w:rFonts w:hint="eastAsia" w:ascii="宋体" w:hAnsi="宋体" w:eastAsia="仿宋" w:cs="仿宋"/>
                <w:sz w:val="24"/>
              </w:rPr>
              <w:t>变更后，应及时修订规章制度、操作规程等文件。</w:t>
            </w:r>
          </w:p>
        </w:tc>
        <w:tc>
          <w:tcPr>
            <w:tcW w:w="1657" w:type="pct"/>
            <w:vAlign w:val="center"/>
          </w:tcPr>
          <w:p>
            <w:pPr>
              <w:spacing w:line="240" w:lineRule="auto"/>
              <w:jc w:val="left"/>
              <w:rPr>
                <w:rFonts w:hint="eastAsia" w:ascii="宋体" w:hAnsi="宋体" w:eastAsia="仿宋" w:cs="仿宋"/>
                <w:sz w:val="24"/>
                <w:szCs w:val="24"/>
                <w:lang w:eastAsia="zh-CN"/>
              </w:rPr>
            </w:pPr>
            <w:r>
              <w:rPr>
                <w:rFonts w:hint="eastAsia" w:ascii="宋体" w:hAnsi="宋体" w:eastAsia="仿宋" w:cs="仿宋"/>
                <w:sz w:val="24"/>
                <w:szCs w:val="24"/>
              </w:rPr>
              <w:t>将2016版“5.5.1.4变更管理”调整至“作业安全”，参考《职业健康安全管理体系―要求及使用指南》 （GB/T 45001-2020）、《化工过程安全管理导则》（AQ/T 3034-2022），增加了除风险辨识外的变更管理要求，明确了变更管理的全过程管理内容</w:t>
            </w:r>
            <w:r>
              <w:rPr>
                <w:rFonts w:hint="eastAsia" w:ascii="宋体" w:hAnsi="宋体" w:eastAsia="仿宋" w:cs="仿宋"/>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spacing w:line="240" w:lineRule="auto"/>
              <w:jc w:val="center"/>
              <w:rPr>
                <w:rFonts w:hint="eastAsia" w:ascii="宋体" w:hAnsi="宋体" w:eastAsia="仿宋" w:cs="仿宋"/>
                <w:sz w:val="24"/>
                <w:szCs w:val="24"/>
              </w:rPr>
            </w:pPr>
            <w:r>
              <w:rPr>
                <w:rFonts w:hint="eastAsia" w:ascii="宋体" w:hAnsi="宋体" w:eastAsia="仿宋" w:cs="仿宋"/>
                <w:sz w:val="24"/>
                <w:szCs w:val="24"/>
              </w:rPr>
              <w:t>93</w:t>
            </w:r>
          </w:p>
        </w:tc>
        <w:tc>
          <w:tcPr>
            <w:tcW w:w="1550" w:type="pct"/>
            <w:vAlign w:val="center"/>
          </w:tcPr>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企业应建立承包商、供应商等安全管理制度</w:t>
            </w:r>
            <w:r>
              <w:rPr>
                <w:rFonts w:hint="eastAsia" w:ascii="宋体" w:hAnsi="宋体" w:eastAsia="仿宋" w:cs="仿宋"/>
                <w:sz w:val="24"/>
                <w:szCs w:val="24"/>
                <w:shd w:val="clear" w:fill="FFFFFF"/>
              </w:rPr>
              <w:t>，</w:t>
            </w:r>
            <w:r>
              <w:rPr>
                <w:rFonts w:hint="eastAsia" w:ascii="宋体" w:hAnsi="宋体" w:eastAsia="仿宋" w:cs="仿宋"/>
                <w:sz w:val="24"/>
                <w:szCs w:val="24"/>
              </w:rPr>
              <w:t>将承包商、供应商等相关方的安全生产和职业卫生</w:t>
            </w:r>
            <w:r>
              <w:rPr>
                <w:rFonts w:hint="eastAsia" w:ascii="宋体" w:hAnsi="宋体" w:eastAsia="仿宋" w:cs="仿宋"/>
                <w:sz w:val="24"/>
                <w:szCs w:val="24"/>
                <w:shd w:val="clear" w:fill="FFFFFF"/>
              </w:rPr>
              <w:t>纳入</w:t>
            </w:r>
            <w:r>
              <w:rPr>
                <w:rFonts w:hint="eastAsia" w:ascii="宋体" w:hAnsi="宋体" w:eastAsia="仿宋" w:cs="仿宋"/>
                <w:sz w:val="24"/>
                <w:szCs w:val="24"/>
              </w:rPr>
              <w:t>企业内部管理</w:t>
            </w:r>
            <w:r>
              <w:rPr>
                <w:rFonts w:hint="eastAsia" w:ascii="宋体" w:hAnsi="宋体" w:eastAsia="仿宋" w:cs="仿宋"/>
                <w:sz w:val="24"/>
                <w:szCs w:val="24"/>
                <w:shd w:val="clear" w:fill="FFFFFF"/>
              </w:rPr>
              <w:t>，</w:t>
            </w:r>
            <w:r>
              <w:rPr>
                <w:rFonts w:hint="eastAsia" w:ascii="宋体" w:hAnsi="宋体" w:eastAsia="仿宋" w:cs="仿宋"/>
                <w:sz w:val="24"/>
                <w:szCs w:val="24"/>
              </w:rPr>
              <w:t>对承包商、供应商等相关方的资格预审、选择、作业人员培训、作业过程检查监督、提供的产品与服务、绩效评估、续用或退出等进行管理。</w:t>
            </w:r>
          </w:p>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企业应建立合格承包商、供应商等相关方的名录和档案</w:t>
            </w:r>
            <w:r>
              <w:rPr>
                <w:rFonts w:hint="eastAsia" w:ascii="宋体" w:hAnsi="宋体" w:eastAsia="仿宋" w:cs="仿宋"/>
                <w:sz w:val="24"/>
                <w:szCs w:val="24"/>
                <w:shd w:val="clear" w:fill="FFFFFF"/>
              </w:rPr>
              <w:t>，</w:t>
            </w:r>
            <w:r>
              <w:rPr>
                <w:rFonts w:hint="eastAsia" w:ascii="宋体" w:hAnsi="宋体" w:eastAsia="仿宋" w:cs="仿宋"/>
                <w:sz w:val="24"/>
                <w:szCs w:val="24"/>
              </w:rPr>
              <w:t>定期识别服务行为安全风险</w:t>
            </w:r>
            <w:r>
              <w:rPr>
                <w:rFonts w:hint="eastAsia" w:ascii="宋体" w:hAnsi="宋体" w:eastAsia="仿宋" w:cs="仿宋"/>
                <w:sz w:val="24"/>
                <w:szCs w:val="24"/>
                <w:shd w:val="clear" w:fill="FFFFFF"/>
              </w:rPr>
              <w:t>，</w:t>
            </w:r>
            <w:r>
              <w:rPr>
                <w:rFonts w:hint="eastAsia" w:ascii="宋体" w:hAnsi="宋体" w:eastAsia="仿宋" w:cs="仿宋"/>
                <w:sz w:val="24"/>
                <w:szCs w:val="24"/>
              </w:rPr>
              <w:t>并采取有效的控制措施。</w:t>
            </w:r>
          </w:p>
          <w:p>
            <w:pPr>
              <w:spacing w:line="240" w:lineRule="auto"/>
              <w:jc w:val="left"/>
              <w:rPr>
                <w:rFonts w:hint="eastAsia" w:ascii="宋体" w:hAnsi="宋体" w:eastAsia="仿宋" w:cs="仿宋"/>
                <w:sz w:val="24"/>
                <w:szCs w:val="24"/>
                <w:lang w:eastAsia="zh-CN"/>
              </w:rPr>
            </w:pPr>
            <w:r>
              <w:rPr>
                <w:rFonts w:hint="eastAsia" w:ascii="宋体" w:hAnsi="宋体" w:eastAsia="仿宋" w:cs="仿宋"/>
                <w:sz w:val="24"/>
                <w:szCs w:val="24"/>
              </w:rPr>
              <w:t>企业不应将项目委托给不具备相应资质或安全生产、职业病防护条件的承包商、供应商等相关方企业应与承包商、供应商等签订合作协议</w:t>
            </w:r>
            <w:r>
              <w:rPr>
                <w:rFonts w:hint="eastAsia" w:ascii="宋体" w:hAnsi="宋体" w:eastAsia="仿宋" w:cs="仿宋"/>
                <w:sz w:val="24"/>
                <w:szCs w:val="24"/>
                <w:shd w:val="clear" w:fill="FFFFFF"/>
              </w:rPr>
              <w:t>，</w:t>
            </w:r>
            <w:r>
              <w:rPr>
                <w:rFonts w:hint="eastAsia" w:ascii="宋体" w:hAnsi="宋体" w:eastAsia="仿宋" w:cs="仿宋"/>
                <w:sz w:val="24"/>
                <w:szCs w:val="24"/>
              </w:rPr>
              <w:t>明确规定双方的安全生产及职业病防护的责任和义务。企业应通过供应链关系促进承包商、供应商等相关方达到安全生产标准化要求</w:t>
            </w:r>
            <w:r>
              <w:rPr>
                <w:rFonts w:hint="eastAsia" w:ascii="宋体" w:hAnsi="宋体" w:eastAsia="仿宋" w:cs="仿宋"/>
                <w:sz w:val="24"/>
                <w:szCs w:val="24"/>
                <w:lang w:eastAsia="zh-CN"/>
              </w:rPr>
              <w:t>。</w:t>
            </w:r>
            <w:bookmarkStart w:id="457" w:name="_GoBack"/>
            <w:bookmarkEnd w:id="457"/>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10.6.1 承包商</w:t>
            </w:r>
          </w:p>
          <w:p>
            <w:pPr>
              <w:snapToGrid w:val="0"/>
              <w:spacing w:line="240" w:lineRule="auto"/>
              <w:rPr>
                <w:rFonts w:hint="eastAsia" w:ascii="宋体" w:hAnsi="宋体" w:eastAsia="仿宋" w:cs="仿宋"/>
                <w:sz w:val="24"/>
              </w:rPr>
            </w:pPr>
            <w:r>
              <w:rPr>
                <w:rFonts w:hint="eastAsia" w:ascii="宋体" w:hAnsi="宋体" w:eastAsia="仿宋" w:cs="仿宋"/>
                <w:sz w:val="24"/>
              </w:rPr>
              <w:t>企业应建立承包商安全管理要求，明确职责分工、安全准入条件、过程安全管控、安全生产绩效评价等内容。</w:t>
            </w:r>
          </w:p>
          <w:p>
            <w:pPr>
              <w:snapToGrid w:val="0"/>
              <w:spacing w:line="240" w:lineRule="auto"/>
              <w:rPr>
                <w:rFonts w:hint="eastAsia" w:ascii="宋体" w:hAnsi="宋体" w:eastAsia="仿宋" w:cs="仿宋"/>
                <w:sz w:val="24"/>
              </w:rPr>
            </w:pPr>
            <w:r>
              <w:rPr>
                <w:rFonts w:hint="eastAsia" w:ascii="宋体" w:hAnsi="宋体" w:eastAsia="仿宋" w:cs="仿宋"/>
                <w:sz w:val="24"/>
              </w:rPr>
              <w:t>应对外部委托项目进行分类管理，建立外部委托项目清单以及禁止外委、限制外委项目清单。</w:t>
            </w:r>
          </w:p>
          <w:p>
            <w:pPr>
              <w:snapToGrid w:val="0"/>
              <w:spacing w:line="240" w:lineRule="auto"/>
              <w:rPr>
                <w:rFonts w:hint="eastAsia" w:ascii="宋体" w:hAnsi="宋体" w:eastAsia="仿宋" w:cs="仿宋"/>
                <w:sz w:val="24"/>
              </w:rPr>
            </w:pPr>
            <w:r>
              <w:rPr>
                <w:rFonts w:hint="eastAsia" w:ascii="宋体" w:hAnsi="宋体" w:eastAsia="仿宋" w:cs="仿宋"/>
                <w:sz w:val="24"/>
              </w:rPr>
              <w:t>应将安全管理、诚信履约等情况作为承包商选择的重要内容，并与承包商签订安全管理协议，明确安全生产责任和要求。</w:t>
            </w:r>
          </w:p>
          <w:p>
            <w:pPr>
              <w:snapToGrid w:val="0"/>
              <w:spacing w:line="240" w:lineRule="auto"/>
              <w:rPr>
                <w:rFonts w:hint="eastAsia" w:ascii="宋体" w:hAnsi="宋体" w:eastAsia="仿宋" w:cs="仿宋"/>
                <w:sz w:val="24"/>
              </w:rPr>
            </w:pPr>
            <w:r>
              <w:rPr>
                <w:rFonts w:hint="eastAsia" w:ascii="宋体" w:hAnsi="宋体" w:eastAsia="仿宋" w:cs="仿宋"/>
                <w:sz w:val="24"/>
              </w:rPr>
              <w:t>在承包商入场前，应对人员资格、设备设施安全性能等进行核验，并对承包商人员进行安全培训，告知安全风险。</w:t>
            </w:r>
          </w:p>
          <w:p>
            <w:pPr>
              <w:snapToGrid w:val="0"/>
              <w:spacing w:line="240" w:lineRule="auto"/>
              <w:rPr>
                <w:rFonts w:hint="eastAsia" w:ascii="宋体" w:hAnsi="宋体" w:eastAsia="仿宋" w:cs="仿宋"/>
                <w:sz w:val="24"/>
              </w:rPr>
            </w:pPr>
            <w:r>
              <w:rPr>
                <w:rFonts w:hint="eastAsia" w:ascii="宋体" w:hAnsi="宋体" w:eastAsia="仿宋" w:cs="仿宋"/>
                <w:sz w:val="24"/>
              </w:rPr>
              <w:t>应对承包商进行全过程监督检查，定期考核，并纳入履约评价。</w:t>
            </w:r>
          </w:p>
        </w:tc>
        <w:tc>
          <w:tcPr>
            <w:tcW w:w="1657" w:type="pct"/>
            <w:vAlign w:val="center"/>
          </w:tcPr>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新增要素，参考《中央企业安全生产监督管理办法》第三十二条</w:t>
            </w:r>
            <w:r>
              <w:rPr>
                <w:rFonts w:hint="eastAsia" w:ascii="宋体" w:hAnsi="宋体" w:eastAsia="仿宋" w:cs="仿宋"/>
                <w:sz w:val="24"/>
                <w:szCs w:val="24"/>
                <w:shd w:val="clear" w:color="auto" w:fill="FFFFFF"/>
              </w:rPr>
              <w:t xml:space="preserve"> </w:t>
            </w:r>
            <w:r>
              <w:rPr>
                <w:rFonts w:hint="eastAsia" w:ascii="宋体" w:hAnsi="宋体" w:eastAsia="仿宋" w:cs="仿宋"/>
                <w:sz w:val="24"/>
                <w:szCs w:val="24"/>
              </w:rPr>
              <w:t>中央企业应当加强承包商安全管理，严格准入资质管理，把承包商和劳务派遣人员统一纳入企业安全管理体系。</w:t>
            </w:r>
          </w:p>
          <w:p>
            <w:pPr>
              <w:spacing w:line="240" w:lineRule="auto"/>
              <w:jc w:val="left"/>
              <w:rPr>
                <w:rFonts w:hint="eastAsia" w:ascii="宋体" w:hAnsi="宋体" w:eastAsia="仿宋" w:cs="仿宋"/>
                <w:sz w:val="24"/>
                <w:szCs w:val="24"/>
                <w:lang w:eastAsia="zh-CN"/>
              </w:rPr>
            </w:pPr>
            <w:r>
              <w:rPr>
                <w:rFonts w:hint="eastAsia" w:ascii="宋体" w:hAnsi="宋体" w:eastAsia="仿宋" w:cs="仿宋"/>
                <w:sz w:val="24"/>
                <w:szCs w:val="24"/>
              </w:rPr>
              <w:t>将承包商单独规定，调整表述，减少非必要的记录资料等要求，增加</w:t>
            </w:r>
            <w:r>
              <w:rPr>
                <w:rFonts w:hint="eastAsia" w:ascii="宋体" w:hAnsi="宋体" w:eastAsia="仿宋" w:cs="仿宋"/>
                <w:kern w:val="0"/>
                <w:sz w:val="24"/>
                <w:szCs w:val="24"/>
              </w:rPr>
              <w:t>对承包商进行全过程监督检查，定期考核，并纳入履约评价的要求</w:t>
            </w:r>
            <w:r>
              <w:rPr>
                <w:rFonts w:hint="eastAsia" w:ascii="宋体" w:hAnsi="宋体" w:eastAsia="仿宋" w:cs="仿宋"/>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spacing w:line="240" w:lineRule="auto"/>
              <w:jc w:val="center"/>
              <w:rPr>
                <w:rFonts w:hint="eastAsia" w:ascii="宋体" w:hAnsi="宋体" w:eastAsia="仿宋" w:cs="仿宋"/>
                <w:sz w:val="24"/>
                <w:szCs w:val="24"/>
              </w:rPr>
            </w:pPr>
            <w:r>
              <w:rPr>
                <w:rFonts w:hint="eastAsia" w:ascii="宋体" w:hAnsi="宋体" w:eastAsia="仿宋" w:cs="仿宋"/>
                <w:sz w:val="24"/>
                <w:szCs w:val="24"/>
              </w:rPr>
              <w:t>94</w:t>
            </w:r>
          </w:p>
        </w:tc>
        <w:tc>
          <w:tcPr>
            <w:tcW w:w="1550" w:type="pct"/>
            <w:vAlign w:val="center"/>
          </w:tcPr>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10.6.2 供应商</w:t>
            </w:r>
          </w:p>
          <w:p>
            <w:pPr>
              <w:snapToGrid w:val="0"/>
              <w:spacing w:line="240" w:lineRule="auto"/>
              <w:rPr>
                <w:rFonts w:hint="eastAsia" w:ascii="宋体" w:hAnsi="宋体" w:eastAsia="仿宋" w:cs="仿宋"/>
                <w:sz w:val="24"/>
              </w:rPr>
            </w:pPr>
            <w:r>
              <w:rPr>
                <w:rFonts w:hint="eastAsia" w:ascii="宋体" w:hAnsi="宋体" w:eastAsia="仿宋" w:cs="仿宋"/>
                <w:sz w:val="24"/>
              </w:rPr>
              <w:t>企业应对供应商提供的设备、材料等产品安全性能进行检查或验证，确保采购产品符合安全标准。</w:t>
            </w:r>
          </w:p>
          <w:p>
            <w:pPr>
              <w:snapToGrid w:val="0"/>
              <w:spacing w:line="240" w:lineRule="auto"/>
              <w:rPr>
                <w:rFonts w:hint="eastAsia" w:ascii="宋体" w:hAnsi="宋体" w:eastAsia="仿宋" w:cs="仿宋"/>
                <w:sz w:val="24"/>
              </w:rPr>
            </w:pPr>
            <w:r>
              <w:rPr>
                <w:rFonts w:hint="eastAsia" w:ascii="宋体" w:hAnsi="宋体" w:eastAsia="仿宋" w:cs="仿宋"/>
                <w:sz w:val="24"/>
              </w:rPr>
              <w:t>供应商人员提供入厂服务的，应纳入承包商管理。</w:t>
            </w:r>
          </w:p>
        </w:tc>
        <w:tc>
          <w:tcPr>
            <w:tcW w:w="1657" w:type="pct"/>
            <w:vAlign w:val="center"/>
          </w:tcPr>
          <w:p>
            <w:pPr>
              <w:spacing w:line="240" w:lineRule="auto"/>
              <w:jc w:val="left"/>
              <w:rPr>
                <w:rFonts w:hint="eastAsia" w:ascii="宋体" w:hAnsi="宋体" w:eastAsia="仿宋" w:cs="仿宋"/>
                <w:sz w:val="24"/>
                <w:szCs w:val="24"/>
                <w:lang w:eastAsia="zh-CN"/>
              </w:rPr>
            </w:pPr>
            <w:r>
              <w:rPr>
                <w:rFonts w:hint="eastAsia" w:ascii="宋体" w:hAnsi="宋体" w:eastAsia="仿宋" w:cs="仿宋"/>
                <w:sz w:val="24"/>
                <w:szCs w:val="24"/>
              </w:rPr>
              <w:t>新增要素，将供应商单独规定，结合企业实际，增加</w:t>
            </w:r>
            <w:r>
              <w:rPr>
                <w:rFonts w:hint="eastAsia" w:ascii="宋体" w:hAnsi="宋体" w:eastAsia="仿宋" w:cs="仿宋"/>
                <w:kern w:val="0"/>
                <w:sz w:val="24"/>
                <w:szCs w:val="24"/>
              </w:rPr>
              <w:t>对供应商提供的设备、材料等产品安全性能进行检查或验证的内容，</w:t>
            </w:r>
            <w:r>
              <w:rPr>
                <w:rFonts w:hint="eastAsia" w:ascii="宋体" w:hAnsi="宋体" w:eastAsia="仿宋" w:cs="仿宋"/>
                <w:sz w:val="24"/>
                <w:szCs w:val="24"/>
              </w:rPr>
              <w:t>明确</w:t>
            </w:r>
            <w:r>
              <w:rPr>
                <w:rFonts w:hint="eastAsia" w:ascii="宋体" w:hAnsi="宋体" w:eastAsia="仿宋" w:cs="仿宋"/>
                <w:kern w:val="0"/>
                <w:sz w:val="24"/>
                <w:szCs w:val="24"/>
              </w:rPr>
              <w:t>供应商人员提供入厂服务的纳入承包商管理</w:t>
            </w:r>
            <w:r>
              <w:rPr>
                <w:rFonts w:hint="eastAsia" w:ascii="宋体" w:hAnsi="宋体" w:eastAsia="仿宋" w:cs="仿宋"/>
                <w:kern w:val="0"/>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57" w:type="pct"/>
            <w:vAlign w:val="center"/>
          </w:tcPr>
          <w:p>
            <w:pPr>
              <w:spacing w:line="240" w:lineRule="auto"/>
              <w:jc w:val="center"/>
              <w:rPr>
                <w:rFonts w:hint="eastAsia" w:ascii="宋体" w:hAnsi="宋体" w:eastAsia="仿宋" w:cs="仿宋"/>
                <w:sz w:val="24"/>
                <w:szCs w:val="24"/>
              </w:rPr>
            </w:pPr>
            <w:r>
              <w:rPr>
                <w:rFonts w:hint="eastAsia" w:ascii="宋体" w:hAnsi="宋体" w:eastAsia="仿宋" w:cs="仿宋"/>
                <w:sz w:val="24"/>
                <w:szCs w:val="24"/>
              </w:rPr>
              <w:t>95</w:t>
            </w:r>
          </w:p>
        </w:tc>
        <w:tc>
          <w:tcPr>
            <w:tcW w:w="1550" w:type="pct"/>
            <w:vAlign w:val="center"/>
          </w:tcPr>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10.6.3 其他外来人员</w:t>
            </w:r>
          </w:p>
          <w:p>
            <w:pPr>
              <w:snapToGrid w:val="0"/>
              <w:spacing w:line="240" w:lineRule="auto"/>
              <w:rPr>
                <w:rFonts w:hint="eastAsia" w:ascii="宋体" w:hAnsi="宋体" w:eastAsia="仿宋" w:cs="仿宋"/>
                <w:sz w:val="24"/>
              </w:rPr>
            </w:pPr>
            <w:r>
              <w:rPr>
                <w:rFonts w:hint="eastAsia" w:ascii="宋体" w:hAnsi="宋体" w:eastAsia="仿宋" w:cs="仿宋"/>
                <w:sz w:val="24"/>
              </w:rPr>
              <w:t>企业应明确进入企业检查、参观、学习等外来人员的管理要求</w:t>
            </w:r>
            <w:r>
              <w:rPr>
                <w:rFonts w:hint="eastAsia" w:ascii="宋体" w:hAnsi="宋体" w:eastAsia="仿宋" w:cs="仿宋"/>
                <w:sz w:val="24"/>
                <w:szCs w:val="24"/>
                <w:shd w:val="clear" w:fill="FFFFFF"/>
              </w:rPr>
              <w:t>，</w:t>
            </w:r>
            <w:r>
              <w:rPr>
                <w:rFonts w:hint="eastAsia" w:ascii="宋体" w:hAnsi="宋体" w:eastAsia="仿宋" w:cs="仿宋"/>
                <w:sz w:val="24"/>
                <w:szCs w:val="24"/>
              </w:rPr>
              <w:t>并</w:t>
            </w:r>
            <w:r>
              <w:rPr>
                <w:rFonts w:hint="eastAsia" w:ascii="宋体" w:hAnsi="宋体" w:eastAsia="仿宋" w:cs="仿宋"/>
                <w:sz w:val="24"/>
              </w:rPr>
              <w:t>通过适宜方式对进入生产作业场所的人员进行安全风险告知。</w:t>
            </w:r>
          </w:p>
        </w:tc>
        <w:tc>
          <w:tcPr>
            <w:tcW w:w="1657" w:type="pct"/>
            <w:vAlign w:val="center"/>
          </w:tcPr>
          <w:p>
            <w:pPr>
              <w:spacing w:line="240" w:lineRule="auto"/>
              <w:jc w:val="left"/>
              <w:rPr>
                <w:rFonts w:hint="eastAsia" w:ascii="宋体" w:hAnsi="宋体" w:eastAsia="仿宋" w:cs="仿宋"/>
                <w:sz w:val="24"/>
                <w:szCs w:val="24"/>
                <w:lang w:eastAsia="zh-CN"/>
              </w:rPr>
            </w:pPr>
            <w:r>
              <w:rPr>
                <w:rFonts w:hint="eastAsia" w:ascii="宋体" w:hAnsi="宋体" w:eastAsia="仿宋" w:cs="仿宋"/>
                <w:sz w:val="24"/>
                <w:szCs w:val="24"/>
              </w:rPr>
              <w:t>新增要素，参考《职业健康安全管理体系―要求及使用指南》（GB/T 45001-2020），明确</w:t>
            </w:r>
            <w:r>
              <w:rPr>
                <w:rFonts w:hint="eastAsia" w:ascii="宋体" w:hAnsi="宋体" w:eastAsia="仿宋" w:cs="仿宋"/>
                <w:sz w:val="24"/>
                <w:szCs w:val="24"/>
                <w:lang w:bidi="ar"/>
              </w:rPr>
              <w:t>进入企业检查、参观、学习等外来人员的安全管理要求</w:t>
            </w:r>
            <w:r>
              <w:rPr>
                <w:rFonts w:hint="eastAsia" w:ascii="宋体" w:hAnsi="宋体" w:eastAsia="仿宋" w:cs="仿宋"/>
                <w:sz w:val="24"/>
                <w:szCs w:val="24"/>
                <w:lang w:eastAsia="zh-CN" w:bidi="ar"/>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pStyle w:val="12"/>
              <w:numPr>
                <w:ilvl w:val="0"/>
                <w:numId w:val="0"/>
              </w:numPr>
              <w:spacing w:line="240" w:lineRule="auto"/>
              <w:jc w:val="center"/>
              <w:rPr>
                <w:rFonts w:hint="eastAsia" w:ascii="宋体" w:hAnsi="宋体" w:eastAsia="仿宋" w:cs="仿宋"/>
                <w:sz w:val="24"/>
                <w:szCs w:val="24"/>
              </w:rPr>
            </w:pPr>
            <w:r>
              <w:rPr>
                <w:rFonts w:hint="eastAsia" w:ascii="宋体" w:hAnsi="宋体" w:eastAsia="仿宋" w:cs="仿宋"/>
                <w:sz w:val="24"/>
                <w:szCs w:val="24"/>
              </w:rPr>
              <w:t>96</w:t>
            </w:r>
          </w:p>
        </w:tc>
        <w:tc>
          <w:tcPr>
            <w:tcW w:w="1550" w:type="pct"/>
            <w:vAlign w:val="center"/>
          </w:tcPr>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5.4.3 职业健康（内容略）</w:t>
            </w:r>
          </w:p>
        </w:tc>
        <w:tc>
          <w:tcPr>
            <w:tcW w:w="1535" w:type="pct"/>
            <w:vAlign w:val="center"/>
          </w:tcPr>
          <w:p>
            <w:pPr>
              <w:spacing w:line="240" w:lineRule="auto"/>
              <w:rPr>
                <w:rFonts w:hint="eastAsia" w:ascii="宋体" w:hAnsi="宋体" w:eastAsia="仿宋" w:cs="仿宋"/>
                <w:sz w:val="24"/>
                <w:szCs w:val="24"/>
                <w:lang w:bidi="ar"/>
              </w:rPr>
            </w:pPr>
            <w:r>
              <w:rPr>
                <w:rFonts w:hint="eastAsia" w:ascii="宋体" w:hAnsi="宋体" w:eastAsia="仿宋" w:cs="仿宋"/>
                <w:sz w:val="24"/>
                <w:szCs w:val="24"/>
              </w:rPr>
              <w:t>--</w:t>
            </w:r>
          </w:p>
        </w:tc>
        <w:tc>
          <w:tcPr>
            <w:tcW w:w="1657" w:type="pct"/>
            <w:vAlign w:val="center"/>
          </w:tcPr>
          <w:p>
            <w:pPr>
              <w:spacing w:line="240" w:lineRule="auto"/>
              <w:jc w:val="left"/>
              <w:rPr>
                <w:rFonts w:hint="eastAsia" w:ascii="宋体" w:hAnsi="宋体" w:eastAsia="仿宋" w:cs="仿宋"/>
                <w:sz w:val="24"/>
                <w:szCs w:val="24"/>
                <w:lang w:eastAsia="zh-CN"/>
              </w:rPr>
            </w:pPr>
            <w:r>
              <w:rPr>
                <w:rFonts w:hint="eastAsia" w:ascii="宋体" w:hAnsi="宋体" w:eastAsia="仿宋" w:cs="仿宋"/>
                <w:sz w:val="24"/>
                <w:szCs w:val="24"/>
              </w:rPr>
              <w:t>删除，简化内容纳入“一般要求”</w:t>
            </w:r>
            <w:r>
              <w:rPr>
                <w:rFonts w:hint="eastAsia" w:ascii="宋体" w:hAnsi="宋体" w:eastAsia="仿宋" w:cs="仿宋"/>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pStyle w:val="12"/>
              <w:numPr>
                <w:ilvl w:val="0"/>
                <w:numId w:val="0"/>
              </w:numPr>
              <w:spacing w:line="240" w:lineRule="auto"/>
              <w:jc w:val="center"/>
              <w:rPr>
                <w:rFonts w:hint="eastAsia" w:ascii="宋体" w:hAnsi="宋体" w:eastAsia="仿宋" w:cs="仿宋"/>
                <w:sz w:val="24"/>
                <w:szCs w:val="24"/>
              </w:rPr>
            </w:pPr>
            <w:r>
              <w:rPr>
                <w:rFonts w:hint="eastAsia" w:ascii="宋体" w:hAnsi="宋体" w:eastAsia="仿宋" w:cs="仿宋"/>
                <w:sz w:val="24"/>
                <w:szCs w:val="24"/>
              </w:rPr>
              <w:t>97</w:t>
            </w:r>
          </w:p>
        </w:tc>
        <w:tc>
          <w:tcPr>
            <w:tcW w:w="1550" w:type="pct"/>
            <w:vAlign w:val="center"/>
          </w:tcPr>
          <w:p>
            <w:pPr>
              <w:spacing w:before="160" w:beforeLines="50" w:after="160" w:afterLines="50" w:line="240" w:lineRule="auto"/>
              <w:outlineLvl w:val="2"/>
              <w:rPr>
                <w:rFonts w:hint="eastAsia" w:ascii="宋体" w:hAnsi="宋体" w:eastAsia="仿宋" w:cs="仿宋"/>
                <w:sz w:val="24"/>
                <w:szCs w:val="24"/>
              </w:rPr>
            </w:pPr>
            <w:r>
              <w:rPr>
                <w:rFonts w:hint="eastAsia" w:ascii="宋体" w:hAnsi="宋体" w:eastAsia="仿宋" w:cs="仿宋"/>
                <w:sz w:val="24"/>
                <w:szCs w:val="24"/>
              </w:rPr>
              <w:t>5.4.4 警示标志（内容略）</w:t>
            </w:r>
          </w:p>
        </w:tc>
        <w:tc>
          <w:tcPr>
            <w:tcW w:w="1535" w:type="pct"/>
            <w:vAlign w:val="center"/>
          </w:tcPr>
          <w:p>
            <w:pPr>
              <w:spacing w:line="240" w:lineRule="auto"/>
              <w:rPr>
                <w:rFonts w:hint="eastAsia" w:ascii="宋体" w:hAnsi="宋体" w:eastAsia="仿宋" w:cs="仿宋"/>
                <w:sz w:val="24"/>
                <w:szCs w:val="24"/>
                <w:lang w:bidi="ar"/>
              </w:rPr>
            </w:pPr>
            <w:r>
              <w:rPr>
                <w:rFonts w:hint="eastAsia" w:ascii="宋体" w:hAnsi="宋体" w:eastAsia="仿宋" w:cs="仿宋"/>
                <w:sz w:val="24"/>
                <w:szCs w:val="24"/>
              </w:rPr>
              <w:t>--</w:t>
            </w:r>
          </w:p>
        </w:tc>
        <w:tc>
          <w:tcPr>
            <w:tcW w:w="1657" w:type="pct"/>
            <w:vAlign w:val="center"/>
          </w:tcPr>
          <w:p>
            <w:pPr>
              <w:spacing w:line="240" w:lineRule="auto"/>
              <w:jc w:val="left"/>
              <w:rPr>
                <w:rFonts w:hint="eastAsia" w:ascii="宋体" w:hAnsi="宋体" w:eastAsia="仿宋" w:cs="仿宋"/>
                <w:sz w:val="24"/>
                <w:szCs w:val="24"/>
                <w:lang w:eastAsia="zh-CN"/>
              </w:rPr>
            </w:pPr>
            <w:r>
              <w:rPr>
                <w:rFonts w:hint="eastAsia" w:ascii="宋体" w:hAnsi="宋体" w:eastAsia="仿宋" w:cs="仿宋"/>
                <w:sz w:val="24"/>
                <w:szCs w:val="24"/>
              </w:rPr>
              <w:t>删除，简化内容纳入“一般要求”</w:t>
            </w:r>
            <w:r>
              <w:rPr>
                <w:rFonts w:hint="eastAsia" w:ascii="宋体" w:hAnsi="宋体" w:eastAsia="仿宋" w:cs="仿宋"/>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spacing w:line="240" w:lineRule="auto"/>
              <w:jc w:val="center"/>
              <w:rPr>
                <w:rFonts w:hint="eastAsia" w:ascii="宋体" w:hAnsi="宋体" w:eastAsia="仿宋" w:cs="仿宋"/>
                <w:sz w:val="24"/>
                <w:szCs w:val="24"/>
              </w:rPr>
            </w:pPr>
            <w:r>
              <w:rPr>
                <w:rFonts w:hint="eastAsia" w:ascii="宋体" w:hAnsi="宋体" w:eastAsia="仿宋" w:cs="仿宋"/>
                <w:sz w:val="24"/>
                <w:szCs w:val="24"/>
              </w:rPr>
              <w:t>98</w:t>
            </w:r>
          </w:p>
        </w:tc>
        <w:tc>
          <w:tcPr>
            <w:tcW w:w="1550" w:type="pct"/>
            <w:vAlign w:val="center"/>
          </w:tcPr>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shd w:val="clear" w:color="auto" w:fill="FFFFFF"/>
              </w:rPr>
              <w:t xml:space="preserve">11 </w:t>
            </w:r>
            <w:r>
              <w:rPr>
                <w:rFonts w:hint="eastAsia" w:ascii="宋体" w:hAnsi="宋体" w:eastAsia="仿宋" w:cs="仿宋"/>
                <w:sz w:val="24"/>
              </w:rPr>
              <w:t>应急管理</w:t>
            </w:r>
            <w:r>
              <w:rPr>
                <w:rFonts w:hint="eastAsia" w:ascii="宋体" w:hAnsi="宋体" w:eastAsia="仿宋" w:cs="仿宋"/>
                <w:sz w:val="24"/>
              </w:rPr>
              <w:tab/>
            </w:r>
          </w:p>
          <w:p>
            <w:pPr>
              <w:snapToGrid w:val="0"/>
              <w:spacing w:line="240" w:lineRule="auto"/>
              <w:rPr>
                <w:rFonts w:hint="eastAsia" w:ascii="宋体" w:hAnsi="宋体" w:eastAsia="仿宋" w:cs="仿宋"/>
                <w:sz w:val="24"/>
              </w:rPr>
            </w:pPr>
            <w:r>
              <w:rPr>
                <w:rFonts w:hint="eastAsia" w:ascii="宋体" w:hAnsi="宋体" w:eastAsia="仿宋" w:cs="仿宋"/>
                <w:sz w:val="24"/>
              </w:rPr>
              <w:t>11.1 一般要求</w:t>
            </w:r>
          </w:p>
          <w:p>
            <w:pPr>
              <w:snapToGrid w:val="0"/>
              <w:spacing w:line="240" w:lineRule="auto"/>
              <w:rPr>
                <w:rFonts w:hint="eastAsia" w:ascii="宋体" w:hAnsi="宋体" w:eastAsia="仿宋" w:cs="仿宋"/>
                <w:sz w:val="24"/>
              </w:rPr>
            </w:pPr>
            <w:r>
              <w:rPr>
                <w:rFonts w:hint="eastAsia" w:ascii="宋体" w:hAnsi="宋体" w:eastAsia="仿宋" w:cs="仿宋"/>
                <w:sz w:val="24"/>
              </w:rPr>
              <w:t>企业应建立应急管理要求，明确应急预案、队伍和物资、培训和演练、救援、恢复等内容。</w:t>
            </w:r>
          </w:p>
          <w:p>
            <w:pPr>
              <w:snapToGrid w:val="0"/>
              <w:spacing w:line="240" w:lineRule="auto"/>
              <w:rPr>
                <w:rFonts w:hint="eastAsia" w:ascii="宋体" w:hAnsi="宋体" w:eastAsia="仿宋" w:cs="仿宋"/>
                <w:sz w:val="24"/>
              </w:rPr>
            </w:pPr>
            <w:r>
              <w:rPr>
                <w:rFonts w:hint="eastAsia" w:ascii="宋体" w:hAnsi="宋体" w:eastAsia="仿宋" w:cs="仿宋"/>
                <w:sz w:val="24"/>
              </w:rPr>
              <w:t>宜建立应急管理平台，健全应急管理机制，提升险情灾情监测预警和应急处置能力、应急响应速度和应急决策科学性。</w:t>
            </w:r>
          </w:p>
          <w:p>
            <w:pPr>
              <w:snapToGrid w:val="0"/>
              <w:spacing w:line="240" w:lineRule="auto"/>
              <w:rPr>
                <w:rFonts w:hint="eastAsia" w:ascii="宋体" w:hAnsi="宋体" w:eastAsia="仿宋" w:cs="仿宋"/>
                <w:sz w:val="24"/>
              </w:rPr>
            </w:pPr>
            <w:r>
              <w:rPr>
                <w:rFonts w:hint="eastAsia" w:ascii="宋体" w:hAnsi="宋体" w:eastAsia="仿宋" w:cs="仿宋"/>
                <w:sz w:val="24"/>
              </w:rPr>
              <w:t>应及时获取自然灾害预警预报信息，分析研判自然灾害对安全生产的影响和冲击，采取防范应对措施，重点对易受自然灾害危害的场所、区域开展隐患排查治理工作。</w:t>
            </w:r>
          </w:p>
        </w:tc>
        <w:tc>
          <w:tcPr>
            <w:tcW w:w="1657" w:type="pct"/>
            <w:vAlign w:val="center"/>
          </w:tcPr>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参考《中华人民共和国安全生产法》《中华人民共和国突发事件应对法》《生产安全事故应急条例》《生产安全事故应急预案管理办法》，旨在突发事件的事前预防、事发应对、事中处置和善后恢复过程中，通过建立必要的应对机制，采取一系列必要措施，应用科学、技术、规划与管理等手段，保障公众生命、健康和财产安全，制定本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57" w:type="pct"/>
            <w:vAlign w:val="center"/>
          </w:tcPr>
          <w:p>
            <w:pPr>
              <w:spacing w:line="240" w:lineRule="auto"/>
              <w:jc w:val="center"/>
              <w:rPr>
                <w:rFonts w:hint="eastAsia" w:ascii="宋体" w:hAnsi="宋体" w:eastAsia="仿宋" w:cs="仿宋"/>
                <w:sz w:val="24"/>
                <w:szCs w:val="24"/>
              </w:rPr>
            </w:pPr>
            <w:r>
              <w:rPr>
                <w:rFonts w:hint="eastAsia" w:ascii="宋体" w:hAnsi="宋体" w:eastAsia="仿宋" w:cs="仿宋"/>
                <w:sz w:val="24"/>
                <w:szCs w:val="24"/>
              </w:rPr>
              <w:t>99</w:t>
            </w:r>
          </w:p>
        </w:tc>
        <w:tc>
          <w:tcPr>
            <w:tcW w:w="1550" w:type="pct"/>
            <w:vAlign w:val="center"/>
          </w:tcPr>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5.6.1.2 应急预案</w:t>
            </w:r>
          </w:p>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企业应在开展安全风险评估和应急资源调查的基础上，建立生产安全事故应急预案体系，制定符合GB/T 29639规定的生产安全事故应急预案，针对安全风险较大的重点场所（设施）制定现场处置方案，并编制重点岗位、人员应急处置卡。</w:t>
            </w:r>
          </w:p>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企业应按照有关规定将应急预案报当地主管部门备案，并通报应急救援队伍、周边企业等有关应急协作单位。</w:t>
            </w:r>
          </w:p>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企业应定期评估应急预案，及时根据评估结果或实际情况的变化进行修订和完善，并按照有关规定将修订的应急预案及时报当地主管部门备案。</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11.2 应急准备</w:t>
            </w:r>
            <w:r>
              <w:rPr>
                <w:rFonts w:hint="eastAsia" w:ascii="宋体" w:hAnsi="宋体" w:eastAsia="仿宋" w:cs="仿宋"/>
                <w:sz w:val="24"/>
              </w:rPr>
              <w:tab/>
            </w:r>
          </w:p>
          <w:p>
            <w:pPr>
              <w:snapToGrid w:val="0"/>
              <w:spacing w:line="240" w:lineRule="auto"/>
              <w:rPr>
                <w:rFonts w:hint="eastAsia" w:ascii="宋体" w:hAnsi="宋体" w:eastAsia="仿宋" w:cs="仿宋"/>
                <w:sz w:val="24"/>
              </w:rPr>
            </w:pPr>
            <w:r>
              <w:rPr>
                <w:rFonts w:hint="eastAsia" w:ascii="宋体" w:hAnsi="宋体" w:eastAsia="仿宋" w:cs="仿宋"/>
                <w:sz w:val="24"/>
              </w:rPr>
              <w:t>11.2.1 应急预案</w:t>
            </w:r>
          </w:p>
          <w:p>
            <w:pPr>
              <w:snapToGrid w:val="0"/>
              <w:spacing w:line="240" w:lineRule="auto"/>
              <w:rPr>
                <w:rFonts w:hint="eastAsia" w:ascii="宋体" w:hAnsi="宋体" w:eastAsia="仿宋" w:cs="仿宋"/>
                <w:sz w:val="24"/>
              </w:rPr>
            </w:pPr>
            <w:r>
              <w:rPr>
                <w:rFonts w:hint="eastAsia" w:ascii="宋体" w:hAnsi="宋体" w:eastAsia="仿宋" w:cs="仿宋"/>
                <w:sz w:val="24"/>
              </w:rPr>
              <w:t>企业应在风险评估、资源调查、案例分析的基础上，根据可能发生的事故特点及危害，科学编制具有针对性和操作性的综合应急预案、专项应急预案和现场处置方案。应急预案应经评审、批准发布，并定期评估，适时修订。</w:t>
            </w:r>
          </w:p>
          <w:p>
            <w:pPr>
              <w:snapToGrid w:val="0"/>
              <w:spacing w:line="240" w:lineRule="auto"/>
              <w:rPr>
                <w:rFonts w:hint="eastAsia" w:ascii="宋体" w:hAnsi="宋体" w:eastAsia="仿宋" w:cs="仿宋"/>
                <w:sz w:val="24"/>
              </w:rPr>
            </w:pPr>
            <w:r>
              <w:rPr>
                <w:rFonts w:hint="eastAsia" w:ascii="宋体" w:hAnsi="宋体" w:eastAsia="仿宋" w:cs="仿宋"/>
                <w:sz w:val="24"/>
              </w:rPr>
              <w:t>宜结合岗位风险特点，编制应急处置卡，明确报告、处置、救援和避险等事故初期应急处置要求。</w:t>
            </w:r>
          </w:p>
          <w:p>
            <w:pPr>
              <w:snapToGrid w:val="0"/>
              <w:spacing w:line="240" w:lineRule="auto"/>
              <w:rPr>
                <w:rFonts w:hint="eastAsia" w:ascii="宋体" w:hAnsi="宋体" w:eastAsia="仿宋" w:cs="仿宋"/>
                <w:sz w:val="24"/>
              </w:rPr>
            </w:pPr>
            <w:r>
              <w:rPr>
                <w:rFonts w:hint="eastAsia" w:ascii="宋体" w:hAnsi="宋体" w:eastAsia="仿宋" w:cs="仿宋"/>
                <w:sz w:val="24"/>
              </w:rPr>
              <w:t>应急预案应与</w:t>
            </w:r>
            <w:r>
              <w:rPr>
                <w:rFonts w:hint="eastAsia" w:ascii="宋体" w:hAnsi="宋体" w:eastAsia="仿宋" w:cs="仿宋"/>
                <w:sz w:val="24"/>
                <w:shd w:val="clear" w:color="auto" w:fill="FFFFFF"/>
              </w:rPr>
              <w:t>相关联</w:t>
            </w:r>
            <w:r>
              <w:rPr>
                <w:rFonts w:hint="eastAsia" w:ascii="宋体" w:hAnsi="宋体" w:eastAsia="仿宋" w:cs="仿宋"/>
                <w:sz w:val="24"/>
              </w:rPr>
              <w:t>单位和地方政府的预案相互衔接，按规定备案，并通报应急救援队伍、周边企业等有关应急协作单位。</w:t>
            </w:r>
          </w:p>
        </w:tc>
        <w:tc>
          <w:tcPr>
            <w:tcW w:w="1657" w:type="pct"/>
            <w:vAlign w:val="center"/>
          </w:tcPr>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参考《中华人民共和国安全生产法》《生产安全事故应急条例》《生产安全事故应急预案管理办法》制定本条，针对可能发生事故编应急处置卡，提高风险管控针对性和操作性，明确了预案衔接要求。</w:t>
            </w:r>
          </w:p>
          <w:p>
            <w:pPr>
              <w:spacing w:line="240" w:lineRule="auto"/>
              <w:jc w:val="left"/>
              <w:rPr>
                <w:rFonts w:hint="eastAsia" w:ascii="宋体" w:hAnsi="宋体"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spacing w:line="240" w:lineRule="auto"/>
              <w:jc w:val="center"/>
              <w:rPr>
                <w:rFonts w:hint="eastAsia" w:ascii="宋体" w:hAnsi="宋体" w:eastAsia="仿宋" w:cs="仿宋"/>
                <w:sz w:val="24"/>
                <w:szCs w:val="24"/>
              </w:rPr>
            </w:pPr>
            <w:r>
              <w:rPr>
                <w:rFonts w:hint="eastAsia" w:ascii="宋体" w:hAnsi="宋体" w:eastAsia="仿宋" w:cs="仿宋"/>
                <w:sz w:val="24"/>
                <w:szCs w:val="24"/>
              </w:rPr>
              <w:t>100</w:t>
            </w:r>
          </w:p>
        </w:tc>
        <w:tc>
          <w:tcPr>
            <w:tcW w:w="1550" w:type="pct"/>
            <w:vAlign w:val="center"/>
          </w:tcPr>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5.6.1.1 应急救援组织</w:t>
            </w:r>
          </w:p>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企业应按照有关规定建立应急管理组织机构或指定专人负责应急管理工作，建立与本企业安全生产特点相适应的专（兼）职应急救援队伍。按照有关规定可以不单独建立应急救援队伍的，应指定兼职救援人员，并与邻近专业应急救援队伍签订应急救援服务协议。</w:t>
            </w:r>
          </w:p>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5.6.1.3 应急设施、装备、物资</w:t>
            </w:r>
          </w:p>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企业应根据可能发生的事故种类特点，按照有关规定设置应急设施，配备应急装备，储备应急物资，建立管理台账，安排专人管理，并定期检查、维护、保养，确保其完好、可靠。</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11.2.2 应急队伍和物资</w:t>
            </w:r>
          </w:p>
          <w:p>
            <w:pPr>
              <w:snapToGrid w:val="0"/>
              <w:spacing w:line="240" w:lineRule="auto"/>
              <w:rPr>
                <w:rFonts w:hint="eastAsia" w:ascii="宋体" w:hAnsi="宋体" w:eastAsia="仿宋" w:cs="仿宋"/>
                <w:sz w:val="24"/>
              </w:rPr>
            </w:pPr>
            <w:r>
              <w:rPr>
                <w:rFonts w:hint="eastAsia" w:ascii="宋体" w:hAnsi="宋体" w:eastAsia="仿宋" w:cs="仿宋"/>
                <w:sz w:val="24"/>
              </w:rPr>
              <w:t>企业应建立专（兼）职应急救援队伍，并与当地政府及其有关部门、邻近企业建立联动机制。不具备建立条件的，应与邻近的应急救援队伍签订应急救援协议。</w:t>
            </w:r>
          </w:p>
          <w:p>
            <w:pPr>
              <w:snapToGrid w:val="0"/>
              <w:spacing w:line="240" w:lineRule="auto"/>
              <w:rPr>
                <w:rFonts w:hint="eastAsia" w:ascii="宋体" w:hAnsi="宋体" w:eastAsia="仿宋" w:cs="仿宋"/>
                <w:sz w:val="24"/>
              </w:rPr>
            </w:pPr>
            <w:r>
              <w:rPr>
                <w:rFonts w:hint="eastAsia" w:ascii="宋体" w:hAnsi="宋体" w:eastAsia="仿宋" w:cs="仿宋"/>
                <w:sz w:val="24"/>
              </w:rPr>
              <w:t>应明确应急物资配备标准和要求，设置应急设施，配备应急装备，储备应急物资，并定期检查、维护、保养，确保其完好、可靠。</w:t>
            </w:r>
          </w:p>
        </w:tc>
        <w:tc>
          <w:tcPr>
            <w:tcW w:w="1657" w:type="pct"/>
            <w:vAlign w:val="center"/>
          </w:tcPr>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整合了应急救援组织和设施、装备、物资，参考《中华人民共和国安全生产法》《生产安全事故应急条例》，制定本条。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spacing w:line="240" w:lineRule="auto"/>
              <w:jc w:val="center"/>
              <w:rPr>
                <w:rFonts w:hint="eastAsia" w:ascii="宋体" w:hAnsi="宋体" w:eastAsia="仿宋" w:cs="仿宋"/>
                <w:sz w:val="24"/>
                <w:szCs w:val="24"/>
              </w:rPr>
            </w:pPr>
            <w:r>
              <w:rPr>
                <w:rFonts w:hint="eastAsia" w:ascii="宋体" w:hAnsi="宋体" w:eastAsia="仿宋" w:cs="仿宋"/>
                <w:sz w:val="24"/>
                <w:szCs w:val="24"/>
              </w:rPr>
              <w:t>101</w:t>
            </w:r>
          </w:p>
        </w:tc>
        <w:tc>
          <w:tcPr>
            <w:tcW w:w="1550" w:type="pct"/>
            <w:vAlign w:val="center"/>
          </w:tcPr>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5.6.1.4 应急演练</w:t>
            </w:r>
          </w:p>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企业应按照AQ/T 9007的规定定期组织公司（厂、矿）、车间（工段、区、队）、班组开展生产安全事故应急演练，做到一线从业人员参与应急演练全覆盖，并按照AQ/T 9009的规定对演练进行总结和评估，根据评估结论和演练发现的问题，修订、完善应急预案，改进应急准备工作。</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11.2.3 应急培训和演练</w:t>
            </w:r>
          </w:p>
          <w:p>
            <w:pPr>
              <w:snapToGrid w:val="0"/>
              <w:spacing w:line="240" w:lineRule="auto"/>
              <w:rPr>
                <w:rFonts w:hint="eastAsia" w:ascii="宋体" w:hAnsi="宋体" w:eastAsia="仿宋" w:cs="仿宋"/>
                <w:sz w:val="24"/>
              </w:rPr>
            </w:pPr>
            <w:r>
              <w:rPr>
                <w:rFonts w:hint="eastAsia" w:ascii="宋体" w:hAnsi="宋体" w:eastAsia="仿宋" w:cs="仿宋"/>
                <w:sz w:val="24"/>
              </w:rPr>
              <w:t>企业应定期组织覆盖一线从业人员的应急预案、应急知识、自救互救和避险逃生技能等培训，确保从业人员了解应急预案内容，熟悉应急处置流程，掌握自救技能，提升安全避险及现场应急能力。</w:t>
            </w:r>
          </w:p>
          <w:p>
            <w:pPr>
              <w:snapToGrid w:val="0"/>
              <w:spacing w:line="240" w:lineRule="auto"/>
              <w:rPr>
                <w:rFonts w:hint="eastAsia" w:ascii="宋体" w:hAnsi="宋体" w:eastAsia="仿宋" w:cs="仿宋"/>
                <w:sz w:val="24"/>
              </w:rPr>
            </w:pPr>
            <w:r>
              <w:rPr>
                <w:rFonts w:hint="eastAsia" w:ascii="宋体" w:hAnsi="宋体" w:eastAsia="仿宋" w:cs="仿宋"/>
                <w:sz w:val="24"/>
              </w:rPr>
              <w:t>应按规定制定应急演练计划，定期组织开展综合应急预案、专项应急预案、现场处置方案演练，并对演练情况进行记录、评估。</w:t>
            </w:r>
          </w:p>
          <w:p>
            <w:pPr>
              <w:snapToGrid w:val="0"/>
              <w:spacing w:line="240" w:lineRule="auto"/>
              <w:rPr>
                <w:rFonts w:hint="eastAsia" w:ascii="宋体" w:hAnsi="宋体" w:eastAsia="仿宋" w:cs="仿宋"/>
                <w:sz w:val="24"/>
              </w:rPr>
            </w:pPr>
            <w:r>
              <w:rPr>
                <w:rFonts w:hint="eastAsia" w:ascii="宋体" w:hAnsi="宋体" w:eastAsia="仿宋" w:cs="仿宋"/>
                <w:sz w:val="24"/>
              </w:rPr>
              <w:t>宜采取不预先通知的方式开展应急演练。</w:t>
            </w:r>
          </w:p>
        </w:tc>
        <w:tc>
          <w:tcPr>
            <w:tcW w:w="1657" w:type="pct"/>
            <w:vAlign w:val="center"/>
          </w:tcPr>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参考《生产安全事故应急预案管理办法》《生产安全事故应急条例》增加了对从业人员和应急救援人员培训的要求。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spacing w:line="240" w:lineRule="auto"/>
              <w:jc w:val="center"/>
              <w:rPr>
                <w:rFonts w:hint="eastAsia" w:ascii="宋体" w:hAnsi="宋体" w:eastAsia="仿宋" w:cs="仿宋"/>
                <w:sz w:val="24"/>
                <w:szCs w:val="24"/>
              </w:rPr>
            </w:pPr>
            <w:r>
              <w:rPr>
                <w:rFonts w:hint="eastAsia" w:ascii="宋体" w:hAnsi="宋体" w:eastAsia="仿宋" w:cs="仿宋"/>
                <w:sz w:val="24"/>
                <w:szCs w:val="24"/>
              </w:rPr>
              <w:t>102</w:t>
            </w:r>
          </w:p>
        </w:tc>
        <w:tc>
          <w:tcPr>
            <w:tcW w:w="1550" w:type="pct"/>
            <w:vAlign w:val="center"/>
          </w:tcPr>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5.6.1.5 应急救援信息系统建设</w:t>
            </w:r>
          </w:p>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矿山、金属冶炼等企业，生产、经营、运输、储存、使用危险物品或处置废弃危险物品的生产经营单位，应建立生产安全事故应急救援信息系统，并与所在地县级以上地方人民政府负有安全生产监督管理职责部门的安全生产应急管理信息系统互联互通。</w:t>
            </w:r>
          </w:p>
        </w:tc>
        <w:tc>
          <w:tcPr>
            <w:tcW w:w="1535" w:type="pct"/>
            <w:vAlign w:val="center"/>
          </w:tcPr>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w:t>
            </w:r>
          </w:p>
        </w:tc>
        <w:tc>
          <w:tcPr>
            <w:tcW w:w="1657" w:type="pct"/>
            <w:vAlign w:val="center"/>
          </w:tcPr>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参考《生产安全事故应急条例》建立生产安全事故应急救援信息系统属于国务院负有安全生产监督管理职责的部门的职责，不属于企业。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57" w:type="pct"/>
            <w:vAlign w:val="center"/>
          </w:tcPr>
          <w:p>
            <w:pPr>
              <w:spacing w:line="240" w:lineRule="auto"/>
              <w:jc w:val="center"/>
              <w:rPr>
                <w:rFonts w:hint="eastAsia" w:ascii="宋体" w:hAnsi="宋体" w:eastAsia="仿宋" w:cs="仿宋"/>
                <w:sz w:val="24"/>
                <w:szCs w:val="24"/>
              </w:rPr>
            </w:pPr>
            <w:r>
              <w:rPr>
                <w:rFonts w:hint="eastAsia" w:ascii="宋体" w:hAnsi="宋体" w:eastAsia="仿宋" w:cs="仿宋"/>
                <w:sz w:val="24"/>
                <w:szCs w:val="24"/>
              </w:rPr>
              <w:t>103</w:t>
            </w:r>
          </w:p>
        </w:tc>
        <w:tc>
          <w:tcPr>
            <w:tcW w:w="1550" w:type="pct"/>
            <w:vAlign w:val="center"/>
          </w:tcPr>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5.6.2 应急处置</w:t>
            </w:r>
          </w:p>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发生事故后，企业应根据预案要求，立即启动应急响应程序，按照有关规定报告事故情况，并开展先期处置：</w:t>
            </w:r>
          </w:p>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发出警报，在不危及人身安全时，现场人员采取阻断或隔离事故源、危险源等措施；严重危及人身安全时，迅速停止现场作业，现场人员采取必要的或可能的应急措施后撤离危险区域。</w:t>
            </w:r>
          </w:p>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立即按照有关规定和程序报告本企业有关负责人，有关负责人应立即将事故发生的时间、地点、当前状态等简要信息向所在地县级以上地方人民政府负有安全生产监督管理职责的有关部门报告，并按照有关规定及时补报、续报有关情况；情况紧急时，事故现场有关人员可以直接向有关部门报告；对可能引发次生事故灾害的，应及时报告相关主管部门。</w:t>
            </w:r>
          </w:p>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研判事故危害及发展趋势，将可能危及周边生命、财产、环境安全的危险性和防护措施等告知相关单位与人员；遇有重大紧急情况时，应立即封闭事故现场，通知本单位从业人员和周边人员疏散，采取转移重要物资、避免或减轻环境危害等措施。</w:t>
            </w:r>
          </w:p>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请求周边应急救援队伍参加事故救援，维护事故现场秩序，保护事故现场证据。准备事故救援技术资料，做好向所在地人民政府及其负有安全生产监督管理职责的部门移交救援工作指挥权的各项准备。</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11.3 应急处置与救援</w:t>
            </w:r>
          </w:p>
          <w:p>
            <w:pPr>
              <w:snapToGrid w:val="0"/>
              <w:spacing w:line="240" w:lineRule="auto"/>
              <w:rPr>
                <w:rFonts w:hint="eastAsia" w:ascii="宋体" w:hAnsi="宋体" w:eastAsia="仿宋" w:cs="仿宋"/>
                <w:sz w:val="24"/>
              </w:rPr>
            </w:pPr>
            <w:r>
              <w:rPr>
                <w:rFonts w:hint="eastAsia" w:ascii="宋体" w:hAnsi="宋体" w:eastAsia="仿宋" w:cs="仿宋"/>
                <w:sz w:val="24"/>
              </w:rPr>
              <w:t>企业应在突发事件或事故发生后，根据应急预案立即启动应急响应程序，按规定报告事件事故情况，在确保安全的前提下进行处置与救援：</w:t>
            </w:r>
          </w:p>
          <w:p>
            <w:pPr>
              <w:snapToGrid w:val="0"/>
              <w:spacing w:line="240" w:lineRule="auto"/>
              <w:rPr>
                <w:rFonts w:hint="eastAsia" w:ascii="宋体" w:hAnsi="宋体" w:eastAsia="仿宋" w:cs="仿宋"/>
                <w:sz w:val="24"/>
              </w:rPr>
            </w:pPr>
            <w:r>
              <w:rPr>
                <w:rFonts w:hint="eastAsia" w:ascii="宋体" w:hAnsi="宋体" w:eastAsia="仿宋" w:cs="仿宋"/>
                <w:sz w:val="24"/>
              </w:rPr>
              <w:t>a</w:t>
            </w:r>
            <w:r>
              <w:rPr>
                <w:rFonts w:hint="eastAsia" w:ascii="宋体" w:hAnsi="宋体" w:eastAsia="仿宋" w:cs="仿宋"/>
                <w:sz w:val="24"/>
                <w:shd w:val="clear" w:color="auto" w:fill="FFFFFF"/>
              </w:rPr>
              <w:t>)</w:t>
            </w:r>
            <w:r>
              <w:rPr>
                <w:rFonts w:hint="eastAsia" w:ascii="宋体" w:hAnsi="宋体" w:eastAsia="仿宋" w:cs="仿宋"/>
                <w:sz w:val="24"/>
              </w:rPr>
              <w:t>迅速采取阻断或隔离事故源、危险源等控制措施，组织抢救遇险人员，并及时通知和撤离可能受到事故影响的单位和人员；</w:t>
            </w:r>
          </w:p>
          <w:p>
            <w:pPr>
              <w:snapToGrid w:val="0"/>
              <w:spacing w:line="240" w:lineRule="auto"/>
              <w:rPr>
                <w:rFonts w:hint="eastAsia" w:ascii="宋体" w:hAnsi="宋体" w:eastAsia="仿宋" w:cs="仿宋"/>
                <w:sz w:val="24"/>
              </w:rPr>
            </w:pPr>
            <w:r>
              <w:rPr>
                <w:rFonts w:hint="eastAsia" w:ascii="宋体" w:hAnsi="宋体" w:eastAsia="仿宋" w:cs="仿宋"/>
                <w:sz w:val="24"/>
              </w:rPr>
              <w:t>b</w:t>
            </w:r>
            <w:r>
              <w:rPr>
                <w:rFonts w:hint="eastAsia" w:ascii="宋体" w:hAnsi="宋体" w:eastAsia="仿宋" w:cs="仿宋"/>
                <w:sz w:val="24"/>
                <w:shd w:val="clear" w:color="auto" w:fill="FFFFFF"/>
              </w:rPr>
              <w:t>)</w:t>
            </w:r>
            <w:r>
              <w:rPr>
                <w:rFonts w:hint="eastAsia" w:ascii="宋体" w:hAnsi="宋体" w:eastAsia="仿宋" w:cs="仿宋"/>
                <w:sz w:val="24"/>
              </w:rPr>
              <w:t>维护事故现场秩序，加强事故现场监测预警，研判事故发展态势，防止事故危害扩大和次生、衍生灾害发生，必要时请求外部应急救援队伍参加救援。</w:t>
            </w:r>
          </w:p>
          <w:p>
            <w:pPr>
              <w:snapToGrid w:val="0"/>
              <w:spacing w:line="240" w:lineRule="auto"/>
              <w:rPr>
                <w:rFonts w:hint="eastAsia" w:ascii="宋体" w:hAnsi="宋体" w:eastAsia="仿宋" w:cs="仿宋"/>
                <w:sz w:val="24"/>
              </w:rPr>
            </w:pPr>
            <w:r>
              <w:rPr>
                <w:rFonts w:hint="eastAsia" w:ascii="宋体" w:hAnsi="宋体" w:eastAsia="仿宋" w:cs="仿宋"/>
                <w:sz w:val="24"/>
              </w:rPr>
              <w:t>应及时准确发布有关信息，正确引导社会和公众舆论。</w:t>
            </w:r>
          </w:p>
          <w:p>
            <w:pPr>
              <w:snapToGrid w:val="0"/>
              <w:spacing w:line="240" w:lineRule="auto"/>
              <w:rPr>
                <w:rFonts w:hint="eastAsia" w:ascii="宋体" w:hAnsi="宋体" w:eastAsia="仿宋" w:cs="仿宋"/>
                <w:sz w:val="24"/>
              </w:rPr>
            </w:pPr>
            <w:r>
              <w:rPr>
                <w:rFonts w:hint="eastAsia" w:ascii="宋体" w:hAnsi="宋体" w:eastAsia="仿宋" w:cs="仿宋"/>
                <w:sz w:val="24"/>
              </w:rPr>
              <w:t>应在现场应急救援结束后，组织人员对现场进行检查确认，消除现场存在的不安全因素，并对应急救援情况进行总结评估。</w:t>
            </w:r>
          </w:p>
        </w:tc>
        <w:tc>
          <w:tcPr>
            <w:tcW w:w="1657" w:type="pct"/>
            <w:vAlign w:val="center"/>
          </w:tcPr>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参考《中华人民共和国安全生产法》《中华人民共和国突发事件应对法》《生产安全事故应急条例》制定本条。</w:t>
            </w:r>
          </w:p>
          <w:p>
            <w:pPr>
              <w:spacing w:line="240" w:lineRule="auto"/>
              <w:jc w:val="left"/>
              <w:rPr>
                <w:rFonts w:hint="eastAsia" w:ascii="宋体" w:hAnsi="宋体"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spacing w:line="240" w:lineRule="auto"/>
              <w:jc w:val="center"/>
              <w:rPr>
                <w:rFonts w:hint="eastAsia" w:ascii="宋体" w:hAnsi="宋体" w:eastAsia="仿宋" w:cs="仿宋"/>
                <w:sz w:val="24"/>
                <w:szCs w:val="24"/>
              </w:rPr>
            </w:pPr>
            <w:r>
              <w:rPr>
                <w:rFonts w:hint="eastAsia" w:ascii="宋体" w:hAnsi="宋体" w:eastAsia="仿宋" w:cs="仿宋"/>
                <w:sz w:val="24"/>
                <w:szCs w:val="24"/>
              </w:rPr>
              <w:t>104</w:t>
            </w:r>
          </w:p>
        </w:tc>
        <w:tc>
          <w:tcPr>
            <w:tcW w:w="1550" w:type="pct"/>
            <w:vAlign w:val="center"/>
          </w:tcPr>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5.6.3 应急评估</w:t>
            </w:r>
          </w:p>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企业应对应急准备、应急处置工作进行评估。</w:t>
            </w:r>
          </w:p>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矿山、金属冶炼等企业，生产、经营、运输、储存、使用危险物品或处置废弃危险物品的企业，应每年进行一次应急准备评估。</w:t>
            </w:r>
          </w:p>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完成险情或事故应急处置后，企业应主动配合有关组织开展应急处置评估。</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11.4 应急恢复</w:t>
            </w:r>
          </w:p>
          <w:p>
            <w:pPr>
              <w:snapToGrid w:val="0"/>
              <w:spacing w:line="240" w:lineRule="auto"/>
              <w:rPr>
                <w:rFonts w:hint="eastAsia" w:ascii="宋体" w:hAnsi="宋体" w:eastAsia="仿宋" w:cs="仿宋"/>
                <w:sz w:val="24"/>
              </w:rPr>
            </w:pPr>
            <w:r>
              <w:rPr>
                <w:rFonts w:hint="eastAsia" w:ascii="宋体" w:hAnsi="宋体" w:eastAsia="仿宋" w:cs="仿宋"/>
                <w:sz w:val="24"/>
              </w:rPr>
              <w:t>企业应制定恢复方案，在确保安全的前提下修复损毁的设备设施、生产环境等，满足安全生产条件后，方可恢复生产秩序。</w:t>
            </w:r>
          </w:p>
        </w:tc>
        <w:tc>
          <w:tcPr>
            <w:tcW w:w="1657" w:type="pct"/>
            <w:vAlign w:val="center"/>
          </w:tcPr>
          <w:p>
            <w:pPr>
              <w:spacing w:line="240" w:lineRule="auto"/>
              <w:rPr>
                <w:rFonts w:hint="eastAsia" w:ascii="宋体" w:hAnsi="宋体" w:eastAsia="仿宋" w:cs="仿宋"/>
                <w:sz w:val="24"/>
                <w:szCs w:val="24"/>
              </w:rPr>
            </w:pPr>
            <w:r>
              <w:rPr>
                <w:rFonts w:hint="eastAsia" w:ascii="宋体" w:hAnsi="宋体" w:eastAsia="仿宋" w:cs="仿宋"/>
                <w:sz w:val="24"/>
                <w:szCs w:val="24"/>
              </w:rPr>
              <w:t>参考《中华人民共和国突发事件应对法》《生产安全事故应急条例》制定本条。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spacing w:line="240" w:lineRule="auto"/>
              <w:jc w:val="center"/>
              <w:rPr>
                <w:rFonts w:hint="eastAsia" w:ascii="宋体" w:hAnsi="宋体" w:eastAsia="仿宋" w:cs="仿宋"/>
                <w:sz w:val="24"/>
                <w:szCs w:val="24"/>
              </w:rPr>
            </w:pPr>
            <w:r>
              <w:rPr>
                <w:rFonts w:hint="eastAsia" w:ascii="宋体" w:hAnsi="宋体" w:eastAsia="仿宋" w:cs="仿宋"/>
                <w:sz w:val="24"/>
                <w:szCs w:val="24"/>
              </w:rPr>
              <w:t>105</w:t>
            </w:r>
          </w:p>
        </w:tc>
        <w:tc>
          <w:tcPr>
            <w:tcW w:w="1550" w:type="pct"/>
            <w:vAlign w:val="center"/>
          </w:tcPr>
          <w:p>
            <w:pPr>
              <w:pStyle w:val="3"/>
              <w:spacing w:before="156" w:after="156" w:line="240" w:lineRule="auto"/>
              <w:rPr>
                <w:rFonts w:hint="eastAsia" w:ascii="宋体" w:hAnsi="宋体" w:eastAsia="仿宋" w:cs="仿宋"/>
                <w:b w:val="0"/>
                <w:bCs w:val="0"/>
                <w:sz w:val="24"/>
                <w:szCs w:val="24"/>
              </w:rPr>
            </w:pPr>
            <w:r>
              <w:rPr>
                <w:rFonts w:hint="eastAsia" w:ascii="宋体" w:hAnsi="宋体" w:eastAsia="仿宋" w:cs="仿宋"/>
                <w:b w:val="0"/>
                <w:bCs w:val="0"/>
                <w:sz w:val="24"/>
                <w:szCs w:val="24"/>
              </w:rPr>
              <w:t>--</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shd w:val="clear" w:color="auto" w:fill="FFFFFF"/>
              </w:rPr>
              <w:t xml:space="preserve">12 </w:t>
            </w:r>
            <w:r>
              <w:rPr>
                <w:rFonts w:hint="eastAsia" w:ascii="宋体" w:hAnsi="宋体" w:eastAsia="仿宋" w:cs="仿宋"/>
                <w:sz w:val="24"/>
              </w:rPr>
              <w:t>检查评价</w:t>
            </w:r>
          </w:p>
        </w:tc>
        <w:tc>
          <w:tcPr>
            <w:tcW w:w="1657" w:type="pct"/>
            <w:vAlign w:val="center"/>
          </w:tcPr>
          <w:p>
            <w:pPr>
              <w:spacing w:line="240" w:lineRule="auto"/>
              <w:rPr>
                <w:rFonts w:hint="eastAsia" w:ascii="宋体" w:hAnsi="宋体" w:eastAsia="仿宋" w:cs="仿宋"/>
                <w:sz w:val="24"/>
                <w:szCs w:val="24"/>
                <w:lang w:eastAsia="zh-CN"/>
              </w:rPr>
            </w:pPr>
            <w:r>
              <w:rPr>
                <w:rFonts w:hint="eastAsia" w:ascii="宋体" w:hAnsi="宋体" w:eastAsia="仿宋" w:cs="仿宋"/>
                <w:sz w:val="24"/>
                <w:szCs w:val="24"/>
              </w:rPr>
              <w:t>基于LS-PDCA运行逻辑，增加了一级要素</w:t>
            </w:r>
            <w:r>
              <w:rPr>
                <w:rFonts w:hint="eastAsia" w:ascii="宋体" w:hAnsi="宋体" w:eastAsia="仿宋" w:cs="仿宋"/>
                <w:sz w:val="24"/>
                <w:szCs w:val="24"/>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spacing w:line="240" w:lineRule="auto"/>
              <w:jc w:val="center"/>
              <w:rPr>
                <w:rFonts w:hint="eastAsia" w:ascii="宋体" w:hAnsi="宋体" w:eastAsia="仿宋" w:cs="仿宋"/>
                <w:sz w:val="24"/>
                <w:szCs w:val="24"/>
              </w:rPr>
            </w:pPr>
            <w:r>
              <w:rPr>
                <w:rFonts w:hint="eastAsia" w:ascii="宋体" w:hAnsi="宋体" w:eastAsia="仿宋" w:cs="仿宋"/>
                <w:sz w:val="24"/>
                <w:szCs w:val="24"/>
              </w:rPr>
              <w:t>106</w:t>
            </w:r>
          </w:p>
        </w:tc>
        <w:tc>
          <w:tcPr>
            <w:tcW w:w="1550" w:type="pct"/>
            <w:vAlign w:val="center"/>
          </w:tcPr>
          <w:p>
            <w:pPr>
              <w:pStyle w:val="3"/>
              <w:spacing w:before="156" w:after="156" w:line="240" w:lineRule="auto"/>
              <w:rPr>
                <w:rFonts w:hint="eastAsia" w:ascii="宋体" w:hAnsi="宋体" w:eastAsia="仿宋" w:cs="仿宋"/>
                <w:b w:val="0"/>
                <w:bCs w:val="0"/>
                <w:sz w:val="24"/>
                <w:szCs w:val="24"/>
              </w:rPr>
            </w:pPr>
            <w:r>
              <w:rPr>
                <w:rFonts w:hint="eastAsia" w:ascii="宋体" w:hAnsi="宋体" w:eastAsia="仿宋" w:cs="仿宋"/>
                <w:b w:val="0"/>
                <w:bCs w:val="0"/>
                <w:sz w:val="24"/>
                <w:szCs w:val="24"/>
              </w:rPr>
              <w:t>--</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12.1 安全检查</w:t>
            </w:r>
          </w:p>
          <w:p>
            <w:pPr>
              <w:snapToGrid w:val="0"/>
              <w:spacing w:line="240" w:lineRule="auto"/>
              <w:rPr>
                <w:rFonts w:hint="eastAsia" w:ascii="宋体" w:hAnsi="宋体" w:eastAsia="仿宋" w:cs="仿宋"/>
                <w:sz w:val="24"/>
              </w:rPr>
            </w:pPr>
            <w:r>
              <w:rPr>
                <w:rFonts w:hint="eastAsia" w:ascii="宋体" w:hAnsi="宋体" w:eastAsia="仿宋" w:cs="仿宋"/>
                <w:sz w:val="24"/>
              </w:rPr>
              <w:t>企业应明确安全检查的层级、内容、方式、频次等。</w:t>
            </w:r>
          </w:p>
          <w:p>
            <w:pPr>
              <w:snapToGrid w:val="0"/>
              <w:spacing w:line="240" w:lineRule="auto"/>
              <w:rPr>
                <w:rFonts w:hint="eastAsia" w:ascii="宋体" w:hAnsi="宋体" w:eastAsia="仿宋" w:cs="仿宋"/>
                <w:sz w:val="24"/>
              </w:rPr>
            </w:pPr>
            <w:r>
              <w:rPr>
                <w:rFonts w:hint="eastAsia" w:ascii="宋体" w:hAnsi="宋体" w:eastAsia="仿宋" w:cs="仿宋"/>
                <w:sz w:val="24"/>
              </w:rPr>
              <w:t>宜采用综合检查、专项检查、季节性检查、节假日检查、日常检查等方式，检查安全生产工作的合规性、安全风险管控的有效性和体系运行的符合性，对检查发现的问题及时整改。</w:t>
            </w:r>
          </w:p>
        </w:tc>
        <w:tc>
          <w:tcPr>
            <w:tcW w:w="1657" w:type="pct"/>
            <w:vAlign w:val="center"/>
          </w:tcPr>
          <w:p>
            <w:pPr>
              <w:pStyle w:val="12"/>
              <w:numPr>
                <w:ilvl w:val="0"/>
                <w:numId w:val="0"/>
              </w:numPr>
              <w:spacing w:line="240" w:lineRule="auto"/>
              <w:contextualSpacing/>
              <w:rPr>
                <w:rFonts w:hint="eastAsia" w:ascii="宋体" w:hAnsi="宋体" w:eastAsia="仿宋" w:cs="仿宋"/>
                <w:sz w:val="24"/>
                <w:szCs w:val="24"/>
              </w:rPr>
            </w:pPr>
            <w:r>
              <w:rPr>
                <w:rFonts w:hint="eastAsia" w:ascii="宋体" w:hAnsi="宋体" w:eastAsia="仿宋" w:cs="仿宋"/>
                <w:sz w:val="24"/>
                <w:szCs w:val="24"/>
              </w:rPr>
              <w:t>基于LS-PDCA运行逻辑，依据《中华人民共和国安全生产法》第二十一条、第二十五条、第四十六条要求，增加了安全检查的要求。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57" w:type="pct"/>
            <w:vAlign w:val="center"/>
          </w:tcPr>
          <w:p>
            <w:pPr>
              <w:spacing w:line="240" w:lineRule="auto"/>
              <w:jc w:val="center"/>
              <w:rPr>
                <w:rFonts w:hint="eastAsia" w:ascii="宋体" w:hAnsi="宋体" w:eastAsia="仿宋" w:cs="仿宋"/>
                <w:sz w:val="24"/>
                <w:szCs w:val="24"/>
              </w:rPr>
            </w:pPr>
            <w:r>
              <w:rPr>
                <w:rFonts w:hint="eastAsia" w:ascii="宋体" w:hAnsi="宋体" w:eastAsia="仿宋" w:cs="仿宋"/>
                <w:sz w:val="24"/>
                <w:szCs w:val="24"/>
              </w:rPr>
              <w:t>107</w:t>
            </w:r>
          </w:p>
        </w:tc>
        <w:tc>
          <w:tcPr>
            <w:tcW w:w="1550" w:type="pct"/>
            <w:vAlign w:val="center"/>
          </w:tcPr>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5.8持续改进</w:t>
            </w:r>
          </w:p>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5.8.1绩效评定</w:t>
            </w:r>
          </w:p>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企业每年至少应对安全生产标准化管理体系的运行情况进行一次自评，验证各项安全生产制度措施的适宜性、充分性和有效性，</w:t>
            </w:r>
            <w:r>
              <w:rPr>
                <w:rFonts w:hint="eastAsia" w:ascii="宋体" w:hAnsi="宋体" w:eastAsia="仿宋" w:cs="仿宋"/>
                <w:sz w:val="24"/>
                <w:szCs w:val="24"/>
                <w:shd w:val="clear" w:color="auto" w:fill="FFFFFF"/>
              </w:rPr>
              <w:t>检査</w:t>
            </w:r>
            <w:r>
              <w:rPr>
                <w:rFonts w:hint="eastAsia" w:ascii="宋体" w:hAnsi="宋体" w:eastAsia="仿宋" w:cs="仿宋"/>
                <w:sz w:val="24"/>
                <w:szCs w:val="24"/>
              </w:rPr>
              <w:t>安全生产和职业卫生管理目标、指标的完成情况。</w:t>
            </w:r>
          </w:p>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企业主要负责人应全面负责组织自评工作，并将自评结果向本企业所有部门、单位和从业人员通报。自评结果应形成正式文件，并作为年度安全绩效考评的重要依据。</w:t>
            </w:r>
          </w:p>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企业应落实安全生产报告制度，定期向业绩考核等有关部门报告安全生产情况，并向社会公示。</w:t>
            </w:r>
          </w:p>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企业发生生产安全责任死亡事故，应重新进行安全绩效评定，全面</w:t>
            </w:r>
            <w:r>
              <w:rPr>
                <w:rFonts w:hint="eastAsia" w:ascii="宋体" w:hAnsi="宋体" w:eastAsia="仿宋" w:cs="仿宋"/>
                <w:sz w:val="24"/>
                <w:szCs w:val="24"/>
                <w:shd w:val="clear" w:color="auto" w:fill="FFFFFF"/>
              </w:rPr>
              <w:t>査找</w:t>
            </w:r>
            <w:r>
              <w:rPr>
                <w:rFonts w:hint="eastAsia" w:ascii="宋体" w:hAnsi="宋体" w:eastAsia="仿宋" w:cs="仿宋"/>
                <w:sz w:val="24"/>
                <w:szCs w:val="24"/>
              </w:rPr>
              <w:t>安全生产标准化管理体系中存在的缺陷。</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12.2 绩效评价</w:t>
            </w:r>
          </w:p>
          <w:p>
            <w:pPr>
              <w:snapToGrid w:val="0"/>
              <w:spacing w:line="240" w:lineRule="auto"/>
              <w:rPr>
                <w:rFonts w:hint="eastAsia" w:ascii="宋体" w:hAnsi="宋体" w:eastAsia="仿宋" w:cs="仿宋"/>
                <w:sz w:val="24"/>
              </w:rPr>
            </w:pPr>
            <w:r>
              <w:rPr>
                <w:rFonts w:hint="eastAsia" w:ascii="宋体" w:hAnsi="宋体" w:eastAsia="仿宋" w:cs="仿宋"/>
                <w:sz w:val="24"/>
              </w:rPr>
              <w:t>企业应建立安全生产绩效评价的管理要求，明确绩效评价的指标、周期、方式和结果应用等内容。</w:t>
            </w:r>
          </w:p>
          <w:p>
            <w:pPr>
              <w:snapToGrid w:val="0"/>
              <w:spacing w:line="240" w:lineRule="auto"/>
              <w:rPr>
                <w:rFonts w:hint="eastAsia" w:ascii="宋体" w:hAnsi="宋体" w:eastAsia="仿宋" w:cs="仿宋"/>
                <w:sz w:val="24"/>
              </w:rPr>
            </w:pPr>
            <w:r>
              <w:rPr>
                <w:rFonts w:hint="eastAsia" w:ascii="宋体" w:hAnsi="宋体" w:eastAsia="仿宋" w:cs="仿宋"/>
                <w:sz w:val="24"/>
              </w:rPr>
              <w:t>安全生产绩效评价指标的设置应覆盖安全管理各个方面，包括过程指标和结果指标。</w:t>
            </w:r>
          </w:p>
          <w:p>
            <w:pPr>
              <w:snapToGrid w:val="0"/>
              <w:spacing w:line="240" w:lineRule="auto"/>
              <w:rPr>
                <w:rFonts w:hint="eastAsia" w:ascii="宋体" w:hAnsi="宋体" w:eastAsia="仿宋" w:cs="仿宋"/>
                <w:sz w:val="24"/>
              </w:rPr>
            </w:pPr>
            <w:r>
              <w:rPr>
                <w:rFonts w:hint="eastAsia" w:ascii="宋体" w:hAnsi="宋体" w:eastAsia="仿宋" w:cs="仿宋"/>
                <w:sz w:val="24"/>
              </w:rPr>
              <w:t>企业应采用定性和定量相结合的方式开展安全生产绩效评价，公布评价结果。</w:t>
            </w:r>
          </w:p>
          <w:p>
            <w:pPr>
              <w:snapToGrid w:val="0"/>
              <w:spacing w:line="240" w:lineRule="auto"/>
              <w:rPr>
                <w:rFonts w:hint="eastAsia" w:ascii="宋体" w:hAnsi="宋体" w:eastAsia="仿宋" w:cs="仿宋"/>
                <w:sz w:val="24"/>
              </w:rPr>
            </w:pPr>
            <w:r>
              <w:rPr>
                <w:rFonts w:hint="eastAsia" w:ascii="宋体" w:hAnsi="宋体" w:eastAsia="仿宋" w:cs="仿宋"/>
                <w:sz w:val="24"/>
              </w:rPr>
              <w:t>宜设置安全生产奖励资金，对安全生产活动中表现突出的个人、单位进行表彰奖励。</w:t>
            </w:r>
          </w:p>
        </w:tc>
        <w:tc>
          <w:tcPr>
            <w:tcW w:w="1657" w:type="pct"/>
            <w:vAlign w:val="center"/>
          </w:tcPr>
          <w:p>
            <w:pPr>
              <w:widowControl/>
              <w:spacing w:line="240" w:lineRule="auto"/>
              <w:rPr>
                <w:rFonts w:hint="eastAsia" w:ascii="宋体" w:hAnsi="宋体" w:eastAsia="仿宋" w:cs="仿宋"/>
                <w:sz w:val="24"/>
                <w:szCs w:val="24"/>
              </w:rPr>
            </w:pPr>
            <w:r>
              <w:rPr>
                <w:rFonts w:hint="eastAsia" w:ascii="宋体" w:hAnsi="宋体" w:eastAsia="仿宋" w:cs="仿宋"/>
                <w:sz w:val="24"/>
                <w:szCs w:val="24"/>
              </w:rPr>
              <w:t>基于LS-PDCA运行逻辑，更改要素名称为“12.2绩效评价”。</w:t>
            </w:r>
          </w:p>
          <w:p>
            <w:pPr>
              <w:widowControl/>
              <w:spacing w:line="240" w:lineRule="auto"/>
              <w:rPr>
                <w:rFonts w:hint="eastAsia" w:ascii="宋体" w:hAnsi="宋体" w:eastAsia="仿宋" w:cs="仿宋"/>
                <w:sz w:val="24"/>
                <w:szCs w:val="24"/>
              </w:rPr>
            </w:pPr>
          </w:p>
          <w:p>
            <w:pPr>
              <w:widowControl/>
              <w:spacing w:line="240" w:lineRule="auto"/>
              <w:rPr>
                <w:rFonts w:hint="eastAsia" w:ascii="宋体" w:hAnsi="宋体" w:eastAsia="仿宋" w:cs="仿宋"/>
                <w:sz w:val="24"/>
                <w:szCs w:val="24"/>
              </w:rPr>
            </w:pPr>
            <w:r>
              <w:rPr>
                <w:rFonts w:hint="eastAsia" w:ascii="宋体" w:hAnsi="宋体" w:eastAsia="仿宋" w:cs="仿宋"/>
                <w:sz w:val="24"/>
                <w:szCs w:val="24"/>
              </w:rPr>
              <w:t>修改了自评的要求。</w:t>
            </w:r>
          </w:p>
          <w:p>
            <w:pPr>
              <w:widowControl/>
              <w:spacing w:line="240" w:lineRule="auto"/>
              <w:rPr>
                <w:rFonts w:hint="eastAsia" w:ascii="宋体" w:hAnsi="宋体" w:eastAsia="仿宋" w:cs="仿宋"/>
                <w:sz w:val="24"/>
                <w:szCs w:val="24"/>
              </w:rPr>
            </w:pPr>
          </w:p>
          <w:p>
            <w:pPr>
              <w:widowControl/>
              <w:spacing w:line="240" w:lineRule="auto"/>
              <w:rPr>
                <w:rFonts w:hint="eastAsia" w:ascii="宋体" w:hAnsi="宋体" w:eastAsia="仿宋" w:cs="仿宋"/>
                <w:sz w:val="24"/>
                <w:szCs w:val="24"/>
              </w:rPr>
            </w:pPr>
            <w:r>
              <w:rPr>
                <w:rFonts w:hint="eastAsia" w:ascii="宋体" w:hAnsi="宋体" w:eastAsia="仿宋" w:cs="仿宋"/>
                <w:sz w:val="24"/>
                <w:szCs w:val="24"/>
              </w:rPr>
              <w:t>《中共中央 国务院关于推进安全生产领域改革发展的意见》二、健全落实安全生产责任制第（七）条内容，增加了绩效评价覆盖的指标和采用的方式、表彰奖励建议要求。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spacing w:line="240" w:lineRule="auto"/>
              <w:jc w:val="center"/>
              <w:rPr>
                <w:rFonts w:hint="eastAsia" w:ascii="宋体" w:hAnsi="宋体" w:eastAsia="仿宋" w:cs="仿宋"/>
                <w:sz w:val="24"/>
                <w:szCs w:val="24"/>
              </w:rPr>
            </w:pPr>
            <w:r>
              <w:rPr>
                <w:rFonts w:hint="eastAsia" w:ascii="宋体" w:hAnsi="宋体" w:eastAsia="仿宋" w:cs="仿宋"/>
                <w:sz w:val="24"/>
                <w:szCs w:val="24"/>
              </w:rPr>
              <w:t>108</w:t>
            </w:r>
          </w:p>
        </w:tc>
        <w:tc>
          <w:tcPr>
            <w:tcW w:w="1550" w:type="pct"/>
            <w:vMerge w:val="restart"/>
            <w:vAlign w:val="center"/>
          </w:tcPr>
          <w:p>
            <w:pPr>
              <w:spacing w:line="240" w:lineRule="auto"/>
              <w:jc w:val="left"/>
              <w:rPr>
                <w:rFonts w:hint="eastAsia" w:ascii="宋体" w:hAnsi="宋体" w:eastAsia="仿宋" w:cs="仿宋"/>
                <w:sz w:val="24"/>
                <w:szCs w:val="24"/>
              </w:rPr>
            </w:pPr>
          </w:p>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5.7 事故管理</w:t>
            </w:r>
          </w:p>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5.7.1 报告</w:t>
            </w:r>
          </w:p>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企业应建立事故报告程序，明确事故内外部报告的责任人、时限、内容等，并教育、指导从业人员严格按照有关规定的程序报告发生的生产安全事故。</w:t>
            </w:r>
          </w:p>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企业应妥善保护事故现场以及相关证据。</w:t>
            </w:r>
          </w:p>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事故报告后出现新情况的，应当及时补报。</w:t>
            </w:r>
          </w:p>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5.7.2 调查和处理</w:t>
            </w:r>
          </w:p>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企业应建立内部事故调查和处理制度，按照有关规定、行业标准和国际通行做法，将造成人员伤亡（轻伤、重伤、死亡等人身伤害和急性中毒）和财产损失的事故纳入事故调查和处理范畴。</w:t>
            </w:r>
          </w:p>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企业发生事故后，应及时成立事故调查组，明确其职责与权限，进行事故调查。事故调查应查明事故发生的时间、经过、原因、波及范围、人员伤亡情况及直接经济损失等。</w:t>
            </w:r>
          </w:p>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事故调查组应根据有关证据、资料，分析事故的直接、间接原因和事故责任，提出应吸取的教训、整改措施和处理建议，编制事故调查报告。</w:t>
            </w:r>
          </w:p>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企业应开展事故案例警示教育活动，认真吸取事故教训，落实防范和整改措施，防止类似事故再次发生。</w:t>
            </w:r>
          </w:p>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企业应根据事故等级，积极配合有关人民政府开展事故调查。</w:t>
            </w:r>
          </w:p>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5.7.3 管理</w:t>
            </w:r>
          </w:p>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企业应建立事故档案和管理台账，将承包商、供应商等相关方在企业内部发生的事故纳入本企业事故管理。</w:t>
            </w:r>
          </w:p>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企业应按照GB 6441、GB/T 15499的有关规定和国家、行业确定的事故统计指标开展事故统计分析。</w:t>
            </w: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shd w:val="clear" w:color="auto" w:fill="FFFFFF"/>
              </w:rPr>
              <w:t>13</w:t>
            </w:r>
            <w:r>
              <w:rPr>
                <w:rFonts w:hint="eastAsia" w:ascii="宋体" w:hAnsi="宋体" w:eastAsia="仿宋" w:cs="仿宋"/>
                <w:sz w:val="24"/>
              </w:rPr>
              <w:t>持续改进</w:t>
            </w:r>
          </w:p>
          <w:p>
            <w:pPr>
              <w:snapToGrid w:val="0"/>
              <w:spacing w:line="240" w:lineRule="auto"/>
              <w:rPr>
                <w:rFonts w:hint="eastAsia" w:ascii="宋体" w:hAnsi="宋体" w:eastAsia="仿宋" w:cs="仿宋"/>
                <w:sz w:val="24"/>
              </w:rPr>
            </w:pPr>
            <w:r>
              <w:rPr>
                <w:rFonts w:hint="eastAsia" w:ascii="宋体" w:hAnsi="宋体" w:eastAsia="仿宋" w:cs="仿宋"/>
                <w:sz w:val="24"/>
              </w:rPr>
              <w:t>13.1 事件管理</w:t>
            </w:r>
          </w:p>
          <w:p>
            <w:pPr>
              <w:snapToGrid w:val="0"/>
              <w:spacing w:line="240" w:lineRule="auto"/>
              <w:rPr>
                <w:rFonts w:hint="eastAsia" w:ascii="宋体" w:hAnsi="宋体" w:eastAsia="仿宋" w:cs="仿宋"/>
                <w:sz w:val="24"/>
              </w:rPr>
            </w:pPr>
            <w:r>
              <w:rPr>
                <w:rFonts w:hint="eastAsia" w:ascii="宋体" w:hAnsi="宋体" w:eastAsia="仿宋" w:cs="仿宋"/>
                <w:sz w:val="24"/>
              </w:rPr>
              <w:t>13.1.1 事故</w:t>
            </w:r>
          </w:p>
          <w:p>
            <w:pPr>
              <w:snapToGrid w:val="0"/>
              <w:spacing w:line="240" w:lineRule="auto"/>
              <w:rPr>
                <w:rFonts w:hint="eastAsia" w:ascii="宋体" w:hAnsi="宋体" w:eastAsia="仿宋" w:cs="仿宋"/>
                <w:sz w:val="24"/>
              </w:rPr>
            </w:pPr>
            <w:r>
              <w:rPr>
                <w:rFonts w:hint="eastAsia" w:ascii="宋体" w:hAnsi="宋体" w:eastAsia="仿宋" w:cs="仿宋"/>
                <w:sz w:val="24"/>
              </w:rPr>
              <w:t>企业应建立事故的管理要求，明确事故的分级分类、信息报告、调查处理等内容。</w:t>
            </w:r>
          </w:p>
          <w:p>
            <w:pPr>
              <w:snapToGrid w:val="0"/>
              <w:spacing w:line="240" w:lineRule="auto"/>
              <w:rPr>
                <w:rFonts w:hint="eastAsia" w:ascii="宋体" w:hAnsi="宋体" w:eastAsia="仿宋" w:cs="仿宋"/>
                <w:sz w:val="24"/>
              </w:rPr>
            </w:pPr>
            <w:r>
              <w:rPr>
                <w:rFonts w:hint="eastAsia" w:ascii="宋体" w:hAnsi="宋体" w:eastAsia="仿宋" w:cs="仿宋"/>
                <w:sz w:val="24"/>
              </w:rPr>
              <w:t>发生事故后，应及时、如实报告，妥善保护事故现场以及相关证据。事故报告后出现新情况的，应及时补报。</w:t>
            </w:r>
          </w:p>
          <w:p>
            <w:pPr>
              <w:snapToGrid w:val="0"/>
              <w:spacing w:line="240" w:lineRule="auto"/>
              <w:rPr>
                <w:rFonts w:hint="eastAsia" w:ascii="宋体" w:hAnsi="宋体" w:eastAsia="仿宋" w:cs="仿宋"/>
                <w:sz w:val="24"/>
              </w:rPr>
            </w:pPr>
            <w:r>
              <w:rPr>
                <w:rFonts w:hint="eastAsia" w:ascii="宋体" w:hAnsi="宋体" w:eastAsia="仿宋" w:cs="仿宋"/>
                <w:sz w:val="24"/>
              </w:rPr>
              <w:t>应成立内部事故调查组，明确其职责与权限，进行事故调查，查明事故原因，认定事故性质和责任，提出整改、防范措施和对责任人的处理建议。</w:t>
            </w:r>
          </w:p>
          <w:p>
            <w:pPr>
              <w:snapToGrid w:val="0"/>
              <w:spacing w:line="240" w:lineRule="auto"/>
              <w:rPr>
                <w:rFonts w:hint="eastAsia" w:ascii="宋体" w:hAnsi="宋体" w:eastAsia="仿宋" w:cs="仿宋"/>
                <w:sz w:val="24"/>
              </w:rPr>
            </w:pPr>
            <w:r>
              <w:rPr>
                <w:rFonts w:hint="eastAsia" w:ascii="宋体" w:hAnsi="宋体" w:eastAsia="仿宋" w:cs="仿宋"/>
                <w:sz w:val="24"/>
              </w:rPr>
              <w:t>应建立事故台账和档案，将相关方在本企业内部发生的事故纳入事故管理，并进行统计分析。</w:t>
            </w:r>
          </w:p>
          <w:p>
            <w:pPr>
              <w:snapToGrid w:val="0"/>
              <w:spacing w:line="240" w:lineRule="auto"/>
              <w:rPr>
                <w:rFonts w:hint="eastAsia" w:ascii="宋体" w:hAnsi="宋体" w:eastAsia="仿宋" w:cs="仿宋"/>
                <w:sz w:val="24"/>
              </w:rPr>
            </w:pPr>
            <w:r>
              <w:rPr>
                <w:rFonts w:hint="eastAsia" w:ascii="宋体" w:hAnsi="宋体" w:eastAsia="仿宋" w:cs="仿宋"/>
                <w:sz w:val="24"/>
              </w:rPr>
              <w:t>应开展事故案例警示教育活动，落实整改和防范措施，防止同类事故再次发生。</w:t>
            </w:r>
          </w:p>
        </w:tc>
        <w:tc>
          <w:tcPr>
            <w:tcW w:w="1657" w:type="pct"/>
            <w:vAlign w:val="center"/>
          </w:tcPr>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基于LS-PDCA运行逻辑，依据《职业健康安全管理体系―要求及使用指南》（</w:t>
            </w:r>
            <w:r>
              <w:rPr>
                <w:rFonts w:hint="eastAsia" w:ascii="宋体" w:hAnsi="宋体" w:eastAsia="仿宋" w:cs="仿宋"/>
                <w:sz w:val="24"/>
                <w:szCs w:val="24"/>
                <w:lang w:val="zh-CN"/>
              </w:rPr>
              <w:t>GB/T 45001</w:t>
            </w:r>
            <w:r>
              <w:rPr>
                <w:rFonts w:hint="eastAsia" w:ascii="宋体" w:hAnsi="宋体" w:eastAsia="仿宋" w:cs="仿宋"/>
                <w:sz w:val="24"/>
                <w:szCs w:val="24"/>
              </w:rPr>
              <w:t>-2020</w:t>
            </w:r>
            <w:r>
              <w:rPr>
                <w:rFonts w:hint="eastAsia" w:ascii="宋体" w:hAnsi="宋体" w:eastAsia="仿宋" w:cs="仿宋"/>
                <w:sz w:val="24"/>
                <w:szCs w:val="24"/>
                <w:lang w:val="zh-CN"/>
              </w:rPr>
              <w:t>）</w:t>
            </w:r>
            <w:r>
              <w:rPr>
                <w:rFonts w:hint="eastAsia" w:ascii="宋体" w:hAnsi="宋体" w:eastAsia="仿宋" w:cs="仿宋"/>
                <w:sz w:val="24"/>
                <w:szCs w:val="24"/>
              </w:rPr>
              <w:t>，将原一级要素5.7“事故管理”更</w:t>
            </w:r>
            <w:r>
              <w:rPr>
                <w:rFonts w:hint="eastAsia" w:ascii="宋体" w:hAnsi="宋体" w:eastAsia="仿宋" w:cs="仿宋"/>
                <w:sz w:val="24"/>
                <w:szCs w:val="24"/>
                <w:shd w:val="clear" w:fill="FFFFFF"/>
              </w:rPr>
              <w:t>改为</w:t>
            </w:r>
            <w:r>
              <w:rPr>
                <w:rFonts w:hint="eastAsia" w:ascii="宋体" w:hAnsi="宋体" w:eastAsia="仿宋" w:cs="仿宋"/>
                <w:sz w:val="24"/>
                <w:szCs w:val="24"/>
              </w:rPr>
              <w:t>二级要素“13.1事件管理”。</w:t>
            </w:r>
          </w:p>
          <w:p>
            <w:pPr>
              <w:spacing w:line="240" w:lineRule="auto"/>
              <w:jc w:val="left"/>
              <w:rPr>
                <w:rFonts w:hint="eastAsia" w:ascii="宋体" w:hAnsi="宋体" w:eastAsia="仿宋" w:cs="仿宋"/>
                <w:sz w:val="24"/>
                <w:szCs w:val="24"/>
              </w:rPr>
            </w:pPr>
          </w:p>
          <w:p>
            <w:pPr>
              <w:spacing w:line="240" w:lineRule="auto"/>
              <w:jc w:val="left"/>
              <w:rPr>
                <w:rFonts w:hint="eastAsia" w:ascii="宋体" w:hAnsi="宋体" w:eastAsia="仿宋" w:cs="仿宋"/>
                <w:sz w:val="24"/>
                <w:szCs w:val="24"/>
                <w:highlight w:val="yellow"/>
              </w:rPr>
            </w:pPr>
            <w:r>
              <w:rPr>
                <w:rFonts w:hint="eastAsia" w:ascii="宋体" w:hAnsi="宋体" w:eastAsia="仿宋" w:cs="仿宋"/>
                <w:sz w:val="24"/>
                <w:szCs w:val="24"/>
              </w:rPr>
              <w:t>依据《中华人民共和国安全生产法》第八十三条、《</w:t>
            </w:r>
            <w:r>
              <w:rPr>
                <w:rFonts w:hint="eastAsia" w:ascii="宋体" w:hAnsi="宋体" w:eastAsia="仿宋" w:cs="仿宋"/>
                <w:sz w:val="24"/>
                <w:szCs w:val="24"/>
                <w:shd w:val="clear" w:color="auto" w:fill="FFFFFF"/>
              </w:rPr>
              <w:t>生产安全事故报告和调查处理条例</w:t>
            </w:r>
            <w:r>
              <w:rPr>
                <w:rFonts w:hint="eastAsia" w:ascii="宋体" w:hAnsi="宋体" w:eastAsia="仿宋" w:cs="仿宋"/>
                <w:sz w:val="24"/>
                <w:szCs w:val="24"/>
              </w:rPr>
              <w:t>》（中华人民共和国国务院令第493号公布），修改了事故管理内</w:t>
            </w:r>
            <w:r>
              <w:rPr>
                <w:rFonts w:hint="eastAsia" w:ascii="宋体" w:hAnsi="宋体" w:eastAsia="仿宋" w:cs="仿宋"/>
                <w:sz w:val="24"/>
                <w:szCs w:val="24"/>
                <w:shd w:val="clear" w:fill="FFFFFF"/>
              </w:rPr>
              <w:t>容和</w:t>
            </w:r>
            <w:r>
              <w:rPr>
                <w:rFonts w:hint="eastAsia" w:ascii="宋体" w:hAnsi="宋体" w:eastAsia="仿宋" w:cs="仿宋"/>
                <w:sz w:val="24"/>
                <w:szCs w:val="24"/>
              </w:rPr>
              <w:t>要求。</w:t>
            </w:r>
          </w:p>
          <w:p>
            <w:pPr>
              <w:spacing w:line="240" w:lineRule="auto"/>
              <w:jc w:val="left"/>
              <w:rPr>
                <w:rFonts w:hint="eastAsia" w:ascii="宋体" w:hAnsi="宋体" w:eastAsia="仿宋" w:cs="仿宋"/>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spacing w:line="240" w:lineRule="auto"/>
              <w:jc w:val="center"/>
              <w:rPr>
                <w:rFonts w:hint="eastAsia" w:ascii="宋体" w:hAnsi="宋体" w:eastAsia="仿宋" w:cs="仿宋"/>
                <w:sz w:val="24"/>
                <w:szCs w:val="24"/>
              </w:rPr>
            </w:pPr>
            <w:r>
              <w:rPr>
                <w:rFonts w:hint="eastAsia" w:ascii="宋体" w:hAnsi="宋体" w:eastAsia="仿宋" w:cs="仿宋"/>
                <w:sz w:val="24"/>
                <w:szCs w:val="24"/>
              </w:rPr>
              <w:t>109</w:t>
            </w:r>
          </w:p>
        </w:tc>
        <w:tc>
          <w:tcPr>
            <w:tcW w:w="1550" w:type="pct"/>
            <w:vMerge w:val="continue"/>
            <w:vAlign w:val="center"/>
          </w:tcPr>
          <w:p>
            <w:pPr>
              <w:spacing w:line="240" w:lineRule="auto"/>
              <w:ind w:firstLine="480" w:firstLineChars="200"/>
              <w:rPr>
                <w:rFonts w:hint="eastAsia" w:ascii="宋体" w:hAnsi="宋体" w:eastAsia="仿宋" w:cs="仿宋"/>
                <w:sz w:val="24"/>
                <w:szCs w:val="24"/>
              </w:rPr>
            </w:pP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13.1.2 未遂事故</w:t>
            </w:r>
          </w:p>
          <w:p>
            <w:pPr>
              <w:snapToGrid w:val="0"/>
              <w:spacing w:line="240" w:lineRule="auto"/>
              <w:rPr>
                <w:rFonts w:hint="eastAsia" w:ascii="宋体" w:hAnsi="宋体" w:eastAsia="仿宋" w:cs="仿宋"/>
                <w:sz w:val="24"/>
              </w:rPr>
            </w:pPr>
            <w:r>
              <w:rPr>
                <w:rFonts w:hint="eastAsia" w:ascii="宋体" w:hAnsi="宋体" w:eastAsia="仿宋" w:cs="仿宋"/>
                <w:sz w:val="24"/>
              </w:rPr>
              <w:t>企业应明确未遂事故的范围，建立未遂事故台账，记录相关信息，查明原因，分析发生规律，采取措施防止同类事故发生。</w:t>
            </w:r>
          </w:p>
          <w:p>
            <w:pPr>
              <w:snapToGrid w:val="0"/>
              <w:spacing w:line="240" w:lineRule="auto"/>
              <w:rPr>
                <w:rFonts w:hint="eastAsia" w:ascii="宋体" w:hAnsi="宋体" w:eastAsia="仿宋" w:cs="仿宋"/>
                <w:sz w:val="24"/>
              </w:rPr>
            </w:pPr>
            <w:r>
              <w:rPr>
                <w:rFonts w:hint="eastAsia" w:ascii="宋体" w:hAnsi="宋体" w:eastAsia="仿宋" w:cs="仿宋"/>
                <w:sz w:val="24"/>
              </w:rPr>
              <w:t>鼓励从业人员主动报告未遂事故。</w:t>
            </w:r>
          </w:p>
        </w:tc>
        <w:tc>
          <w:tcPr>
            <w:tcW w:w="1657" w:type="pct"/>
            <w:vAlign w:val="center"/>
          </w:tcPr>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依据《职业健康安全管理体系―要求及使用指南》（GB/T 45001-2020）中“事件”定义，增加了未遂事故的管理要求。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7" w:type="pct"/>
            <w:vAlign w:val="center"/>
          </w:tcPr>
          <w:p>
            <w:pPr>
              <w:spacing w:line="240" w:lineRule="auto"/>
              <w:jc w:val="center"/>
              <w:rPr>
                <w:rFonts w:hint="eastAsia" w:ascii="宋体" w:hAnsi="宋体" w:eastAsia="仿宋" w:cs="仿宋"/>
                <w:sz w:val="24"/>
                <w:szCs w:val="24"/>
              </w:rPr>
            </w:pPr>
            <w:r>
              <w:rPr>
                <w:rFonts w:hint="eastAsia" w:ascii="宋体" w:hAnsi="宋体" w:eastAsia="仿宋" w:cs="仿宋"/>
                <w:sz w:val="24"/>
                <w:szCs w:val="24"/>
              </w:rPr>
              <w:t>110</w:t>
            </w:r>
          </w:p>
        </w:tc>
        <w:tc>
          <w:tcPr>
            <w:tcW w:w="1550" w:type="pct"/>
            <w:vAlign w:val="center"/>
          </w:tcPr>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5.8.2持续改进</w:t>
            </w:r>
          </w:p>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企业应根据安全生产标准化管理体系的自评结果和安全生产预测预警系统所反映的趋势，以及绩效评定情况，客观分析企业安全生产标准化管理体系的运行质量，及时调整完善相关制度文件和过程管控，持续改进，不断提高安全生产绩效。</w:t>
            </w:r>
          </w:p>
          <w:p>
            <w:pPr>
              <w:pStyle w:val="3"/>
              <w:spacing w:before="156" w:after="156" w:line="240" w:lineRule="auto"/>
              <w:rPr>
                <w:rFonts w:hint="eastAsia" w:ascii="宋体" w:hAnsi="宋体" w:eastAsia="仿宋" w:cs="仿宋"/>
                <w:b w:val="0"/>
                <w:bCs w:val="0"/>
                <w:sz w:val="24"/>
                <w:szCs w:val="24"/>
              </w:rPr>
            </w:pPr>
          </w:p>
        </w:tc>
        <w:tc>
          <w:tcPr>
            <w:tcW w:w="1535" w:type="pct"/>
            <w:vAlign w:val="center"/>
          </w:tcPr>
          <w:p>
            <w:pPr>
              <w:snapToGrid w:val="0"/>
              <w:spacing w:line="240" w:lineRule="auto"/>
              <w:rPr>
                <w:rFonts w:hint="eastAsia" w:ascii="宋体" w:hAnsi="宋体" w:eastAsia="仿宋" w:cs="仿宋"/>
                <w:sz w:val="24"/>
              </w:rPr>
            </w:pPr>
            <w:r>
              <w:rPr>
                <w:rFonts w:hint="eastAsia" w:ascii="宋体" w:hAnsi="宋体" w:eastAsia="仿宋" w:cs="仿宋"/>
                <w:sz w:val="24"/>
              </w:rPr>
              <w:t>13.2 评审改进</w:t>
            </w:r>
          </w:p>
          <w:p>
            <w:pPr>
              <w:snapToGrid w:val="0"/>
              <w:spacing w:line="240" w:lineRule="auto"/>
              <w:rPr>
                <w:rFonts w:hint="eastAsia" w:ascii="宋体" w:hAnsi="宋体" w:eastAsia="仿宋" w:cs="仿宋"/>
                <w:sz w:val="24"/>
              </w:rPr>
            </w:pPr>
            <w:r>
              <w:rPr>
                <w:rFonts w:hint="eastAsia" w:ascii="宋体" w:hAnsi="宋体" w:eastAsia="仿宋" w:cs="仿宋"/>
                <w:sz w:val="24"/>
              </w:rPr>
              <w:t>企业主要负责人应每年至少组织一次对安全生产标准化管理体系的适宜性、充分性和有效性进行评审。</w:t>
            </w:r>
          </w:p>
          <w:p>
            <w:pPr>
              <w:snapToGrid w:val="0"/>
              <w:spacing w:line="240" w:lineRule="auto"/>
              <w:rPr>
                <w:rFonts w:hint="eastAsia" w:ascii="宋体" w:hAnsi="宋体" w:eastAsia="仿宋" w:cs="仿宋"/>
                <w:sz w:val="24"/>
              </w:rPr>
            </w:pPr>
            <w:r>
              <w:rPr>
                <w:rFonts w:hint="eastAsia" w:ascii="宋体" w:hAnsi="宋体" w:eastAsia="仿宋" w:cs="仿宋"/>
                <w:sz w:val="24"/>
              </w:rPr>
              <w:t>评审输入应至少包括安全生产目标完成情况、安全风险分级管控与隐患排查治理情况、事故和未遂事故发生情况、合规评价结果、绩效评价结果、上一次评审输出的落实情况等。</w:t>
            </w:r>
          </w:p>
          <w:p>
            <w:pPr>
              <w:snapToGrid w:val="0"/>
              <w:spacing w:line="240" w:lineRule="auto"/>
              <w:rPr>
                <w:rFonts w:hint="eastAsia" w:ascii="宋体" w:hAnsi="宋体" w:eastAsia="仿宋" w:cs="仿宋"/>
                <w:sz w:val="24"/>
              </w:rPr>
            </w:pPr>
            <w:r>
              <w:rPr>
                <w:rFonts w:hint="eastAsia" w:ascii="宋体" w:hAnsi="宋体" w:eastAsia="仿宋" w:cs="仿宋"/>
                <w:sz w:val="24"/>
              </w:rPr>
              <w:t>评审输出应至少包括安全生产目标、安全生产重点工作安排部署、管理体系持续改进的事项和决定。</w:t>
            </w:r>
          </w:p>
          <w:p>
            <w:pPr>
              <w:snapToGrid w:val="0"/>
              <w:spacing w:line="240" w:lineRule="auto"/>
              <w:rPr>
                <w:rFonts w:hint="eastAsia" w:ascii="宋体" w:hAnsi="宋体" w:eastAsia="仿宋" w:cs="仿宋"/>
                <w:sz w:val="24"/>
              </w:rPr>
            </w:pPr>
            <w:r>
              <w:rPr>
                <w:rFonts w:hint="eastAsia" w:ascii="宋体" w:hAnsi="宋体" w:eastAsia="仿宋" w:cs="仿宋"/>
                <w:sz w:val="24"/>
              </w:rPr>
              <w:t>企业可采用年度安全工作会议或专项安全工作会议的方式实施评审。</w:t>
            </w:r>
          </w:p>
          <w:p>
            <w:pPr>
              <w:snapToGrid w:val="0"/>
              <w:spacing w:line="240" w:lineRule="auto"/>
              <w:rPr>
                <w:rFonts w:hint="eastAsia" w:ascii="宋体" w:hAnsi="宋体" w:eastAsia="仿宋" w:cs="仿宋"/>
                <w:sz w:val="24"/>
              </w:rPr>
            </w:pPr>
            <w:r>
              <w:rPr>
                <w:rFonts w:hint="eastAsia" w:ascii="宋体" w:hAnsi="宋体" w:eastAsia="仿宋" w:cs="仿宋"/>
                <w:sz w:val="24"/>
              </w:rPr>
              <w:t>当企业外部环境、内部的组织机构和业务性质发生重大变化时，应开展附加评审。</w:t>
            </w:r>
          </w:p>
        </w:tc>
        <w:tc>
          <w:tcPr>
            <w:tcW w:w="1657" w:type="pct"/>
            <w:vAlign w:val="center"/>
          </w:tcPr>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基于LS-PDCA运行逻辑，修改二级要素“5.8.2持续改进”为“13.2 评审改进”。</w:t>
            </w:r>
          </w:p>
          <w:p>
            <w:pPr>
              <w:spacing w:line="240" w:lineRule="auto"/>
              <w:jc w:val="left"/>
              <w:rPr>
                <w:rFonts w:hint="eastAsia" w:ascii="宋体" w:hAnsi="宋体" w:eastAsia="仿宋" w:cs="仿宋"/>
                <w:sz w:val="24"/>
                <w:szCs w:val="24"/>
              </w:rPr>
            </w:pPr>
          </w:p>
          <w:p>
            <w:pPr>
              <w:spacing w:line="240" w:lineRule="auto"/>
              <w:jc w:val="left"/>
              <w:rPr>
                <w:rFonts w:hint="eastAsia" w:ascii="宋体" w:hAnsi="宋体" w:eastAsia="仿宋" w:cs="仿宋"/>
                <w:sz w:val="24"/>
                <w:szCs w:val="24"/>
              </w:rPr>
            </w:pPr>
            <w:r>
              <w:rPr>
                <w:rFonts w:hint="eastAsia" w:ascii="宋体" w:hAnsi="宋体" w:eastAsia="仿宋" w:cs="仿宋"/>
                <w:sz w:val="24"/>
                <w:szCs w:val="24"/>
              </w:rPr>
              <w:t>依据《职业健康安全管理体系―要求及使用指南》（GB/T 45001-2020），增加标准化管理体系评审输入、输出内容要求和可采用的方式以及附加评审的要求。</w:t>
            </w:r>
          </w:p>
        </w:tc>
      </w:tr>
    </w:tbl>
    <w:p/>
    <w:sectPr>
      <w:pgSz w:w="16838" w:h="11906" w:orient="landscape"/>
      <w:pgMar w:top="1134" w:right="1928" w:bottom="1134" w:left="1134" w:header="1418" w:footer="1134" w:gutter="283"/>
      <w:pgNumType w:start="1"/>
      <w:cols w:space="0" w:num="1"/>
      <w:formProt w:val="0"/>
      <w:docGrid w:type="lines" w:linePitch="32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altName w:val="MT Extra"/>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等线">
    <w:altName w:val="微软雅黑"/>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script"/>
    <w:pitch w:val="default"/>
    <w:sig w:usb0="00000001" w:usb1="08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DejaVu Sans">
    <w:panose1 w:val="020B0603030804020204"/>
    <w:charset w:val="00"/>
    <w:family w:val="auto"/>
    <w:pitch w:val="default"/>
    <w:sig w:usb0="E7006EFF" w:usb1="D200FDFF" w:usb2="0A246029" w:usb3="0400200C" w:csb0="600001FF" w:csb1="DFFF0000"/>
  </w:font>
  <w:font w:name="方正宋体S-超大字符集">
    <w:panose1 w:val="02000000000000000000"/>
    <w:charset w:val="86"/>
    <w:family w:val="auto"/>
    <w:pitch w:val="default"/>
    <w:sig w:usb0="00000001" w:usb1="08000000" w:usb2="00000000" w:usb3="00000000" w:csb0="00040000" w:csb1="00000000"/>
  </w:font>
  <w:font w:name="MT Extra">
    <w:panose1 w:val="05050102010205020202"/>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9"/>
    </w:pPr>
    <w:r>
      <w:fldChar w:fldCharType="begin"/>
    </w:r>
    <w:r>
      <w:instrText xml:space="preserve">PAGE   \* MERGEFORMAT</w:instrText>
    </w:r>
    <w:r>
      <w:fldChar w:fldCharType="separate"/>
    </w:r>
    <w:r>
      <w:rPr>
        <w:lang w:val="zh-CN"/>
      </w:rPr>
      <w:t>1</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9"/>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snapToGrid w:val="0"/>
      <w:jc w:val="center"/>
      <w:rPr>
        <w:rFonts w:hint="eastAsia" w:ascii="等线" w:hAnsi="等线" w:eastAsia="等线"/>
        <w:sz w:val="18"/>
        <w:szCs w:val="1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w:t>
    </w:r>
    <w:r>
      <w:rPr>
        <w:rFonts w:ascii="宋体" w:hAnsi="宋体"/>
        <w:sz w:val="28"/>
        <w:szCs w:val="28"/>
      </w:rPr>
      <w:fldChar w:fldCharType="end"/>
    </w:r>
  </w:p>
  <w:p>
    <w:pPr>
      <w:tabs>
        <w:tab w:val="center" w:pos="4153"/>
        <w:tab w:val="right" w:pos="8306"/>
      </w:tabs>
      <w:snapToGrid w:val="0"/>
      <w:jc w:val="left"/>
      <w:rPr>
        <w:rFonts w:hint="eastAsia" w:ascii="等线" w:hAnsi="等线" w:eastAsia="等线"/>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wordWrap w:val="0"/>
      <w:jc w:val="right"/>
      <w:rPr>
        <w:rFonts w:hint="eastAsia"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5"/>
      <w:rPr>
        <w:rFonts w:hint="eastAsia"/>
      </w:rPr>
    </w:pPr>
    <w:r>
      <w:rPr>
        <w:rFonts w:hint="eastAsia"/>
      </w:rPr>
      <w:t>GB/T 33000—XXXX</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5"/>
      <w:rPr>
        <w:rFonts w:hint="eastAsia"/>
      </w:rPr>
    </w:pPr>
    <w:r>
      <w:rPr>
        <w:rFonts w:hint="eastAsia"/>
      </w:rPr>
      <w:t>GB/T 33000—XXXX</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0A2D4E"/>
    <w:multiLevelType w:val="multilevel"/>
    <w:tmpl w:val="D70A2D4E"/>
    <w:lvl w:ilvl="0" w:tentative="0">
      <w:start w:val="1"/>
      <w:numFmt w:val="lowerLetter"/>
      <w:pStyle w:val="83"/>
      <w:lvlText w:val="%1"/>
      <w:lvlJc w:val="left"/>
      <w:pPr>
        <w:tabs>
          <w:tab w:val="left" w:pos="539"/>
        </w:tabs>
        <w:ind w:left="539" w:hanging="119"/>
      </w:pPr>
      <w:rPr>
        <w:rFonts w:hint="eastAsia"/>
        <w:caps w:val="0"/>
        <w:strike w:val="0"/>
        <w:dstrike w:val="0"/>
        <w:vanish w:val="0"/>
        <w:vertAlign w:val="superscript"/>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1">
    <w:nsid w:val="E6F020BA"/>
    <w:multiLevelType w:val="singleLevel"/>
    <w:tmpl w:val="E6F020BA"/>
    <w:lvl w:ilvl="0" w:tentative="0">
      <w:start w:val="1"/>
      <w:numFmt w:val="chineseCounting"/>
      <w:suff w:val="nothing"/>
      <w:lvlText w:val="（%1）"/>
      <w:lvlJc w:val="left"/>
      <w:rPr>
        <w:rFonts w:hint="eastAsia"/>
      </w:rPr>
    </w:lvl>
  </w:abstractNum>
  <w:abstractNum w:abstractNumId="2">
    <w:nsid w:val="E79BE1A0"/>
    <w:multiLevelType w:val="multilevel"/>
    <w:tmpl w:val="E79BE1A0"/>
    <w:lvl w:ilvl="0" w:tentative="0">
      <w:start w:val="1"/>
      <w:numFmt w:val="decimal"/>
      <w:pStyle w:val="109"/>
      <w:suff w:val="nothing"/>
      <w:lvlText w:val="注%1："/>
      <w:lvlJc w:val="left"/>
      <w:pPr>
        <w:ind w:left="811" w:hanging="448"/>
      </w:pPr>
      <w:rPr>
        <w:rFonts w:hint="eastAsia" w:ascii="黑体" w:eastAsia="黑体"/>
        <w:b w:val="0"/>
        <w:i w:val="0"/>
        <w:sz w:val="18"/>
      </w:rPr>
    </w:lvl>
    <w:lvl w:ilvl="1" w:tentative="0">
      <w:start w:val="1"/>
      <w:numFmt w:val="lowerLetter"/>
      <w:lvlText w:val="%2)"/>
      <w:lvlJc w:val="left"/>
      <w:pPr>
        <w:tabs>
          <w:tab w:val="left" w:pos="0"/>
        </w:tabs>
        <w:ind w:left="992" w:hanging="629"/>
      </w:pPr>
      <w:rPr>
        <w:rFonts w:hint="eastAsia"/>
      </w:rPr>
    </w:lvl>
    <w:lvl w:ilvl="2" w:tentative="0">
      <w:start w:val="1"/>
      <w:numFmt w:val="lowerRoman"/>
      <w:lvlText w:val="%3."/>
      <w:lvlJc w:val="right"/>
      <w:pPr>
        <w:tabs>
          <w:tab w:val="left" w:pos="0"/>
        </w:tabs>
        <w:ind w:left="992" w:hanging="629"/>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3">
    <w:nsid w:val="EFEE6F9B"/>
    <w:multiLevelType w:val="singleLevel"/>
    <w:tmpl w:val="EFEE6F9B"/>
    <w:lvl w:ilvl="0" w:tentative="0">
      <w:start w:val="2"/>
      <w:numFmt w:val="chineseCounting"/>
      <w:suff w:val="nothing"/>
      <w:lvlText w:val="%1、"/>
      <w:lvlJc w:val="left"/>
      <w:rPr>
        <w:rFonts w:hint="eastAsia"/>
      </w:rPr>
    </w:lvl>
  </w:abstractNum>
  <w:abstractNum w:abstractNumId="4">
    <w:nsid w:val="02837933"/>
    <w:multiLevelType w:val="multilevel"/>
    <w:tmpl w:val="02837933"/>
    <w:lvl w:ilvl="0" w:tentative="0">
      <w:start w:val="1"/>
      <w:numFmt w:val="decimal"/>
      <w:pStyle w:val="167"/>
      <w:lvlText w:val="[%1]"/>
      <w:lvlJc w:val="left"/>
      <w:pPr>
        <w:tabs>
          <w:tab w:val="left" w:pos="1646"/>
        </w:tabs>
        <w:ind w:left="1646" w:hanging="648"/>
      </w:pPr>
    </w:lvl>
    <w:lvl w:ilvl="1" w:tentative="0">
      <w:start w:val="1"/>
      <w:numFmt w:val="lowerLetter"/>
      <w:lvlText w:val="%2)"/>
      <w:lvlJc w:val="left"/>
      <w:pPr>
        <w:tabs>
          <w:tab w:val="left" w:pos="1838"/>
        </w:tabs>
        <w:ind w:left="1838" w:hanging="420"/>
      </w:pPr>
    </w:lvl>
    <w:lvl w:ilvl="2" w:tentative="0">
      <w:start w:val="1"/>
      <w:numFmt w:val="lowerRoman"/>
      <w:lvlText w:val="%3."/>
      <w:lvlJc w:val="right"/>
      <w:pPr>
        <w:tabs>
          <w:tab w:val="left" w:pos="2258"/>
        </w:tabs>
        <w:ind w:left="2258" w:hanging="420"/>
      </w:pPr>
    </w:lvl>
    <w:lvl w:ilvl="3" w:tentative="0">
      <w:start w:val="1"/>
      <w:numFmt w:val="decimal"/>
      <w:lvlText w:val="%4."/>
      <w:lvlJc w:val="left"/>
      <w:pPr>
        <w:tabs>
          <w:tab w:val="left" w:pos="2678"/>
        </w:tabs>
        <w:ind w:left="2678" w:hanging="420"/>
      </w:pPr>
    </w:lvl>
    <w:lvl w:ilvl="4" w:tentative="0">
      <w:start w:val="1"/>
      <w:numFmt w:val="lowerLetter"/>
      <w:lvlText w:val="%5)"/>
      <w:lvlJc w:val="left"/>
      <w:pPr>
        <w:tabs>
          <w:tab w:val="left" w:pos="3098"/>
        </w:tabs>
        <w:ind w:left="3098" w:hanging="420"/>
      </w:pPr>
    </w:lvl>
    <w:lvl w:ilvl="5" w:tentative="0">
      <w:start w:val="1"/>
      <w:numFmt w:val="lowerRoman"/>
      <w:lvlText w:val="%6."/>
      <w:lvlJc w:val="right"/>
      <w:pPr>
        <w:tabs>
          <w:tab w:val="left" w:pos="3518"/>
        </w:tabs>
        <w:ind w:left="3518" w:hanging="420"/>
      </w:pPr>
    </w:lvl>
    <w:lvl w:ilvl="6" w:tentative="0">
      <w:start w:val="1"/>
      <w:numFmt w:val="decimal"/>
      <w:lvlText w:val="%7."/>
      <w:lvlJc w:val="left"/>
      <w:pPr>
        <w:tabs>
          <w:tab w:val="left" w:pos="3938"/>
        </w:tabs>
        <w:ind w:left="3938" w:hanging="420"/>
      </w:pPr>
    </w:lvl>
    <w:lvl w:ilvl="7" w:tentative="0">
      <w:start w:val="1"/>
      <w:numFmt w:val="lowerLetter"/>
      <w:lvlText w:val="%8)"/>
      <w:lvlJc w:val="left"/>
      <w:pPr>
        <w:tabs>
          <w:tab w:val="left" w:pos="4358"/>
        </w:tabs>
        <w:ind w:left="4358" w:hanging="420"/>
      </w:pPr>
    </w:lvl>
    <w:lvl w:ilvl="8" w:tentative="0">
      <w:start w:val="1"/>
      <w:numFmt w:val="lowerRoman"/>
      <w:lvlText w:val="%9."/>
      <w:lvlJc w:val="right"/>
      <w:pPr>
        <w:tabs>
          <w:tab w:val="left" w:pos="4778"/>
        </w:tabs>
        <w:ind w:left="4778" w:hanging="420"/>
      </w:pPr>
    </w:lvl>
  </w:abstractNum>
  <w:abstractNum w:abstractNumId="5">
    <w:nsid w:val="040A15CD"/>
    <w:multiLevelType w:val="multilevel"/>
    <w:tmpl w:val="040A15CD"/>
    <w:lvl w:ilvl="0" w:tentative="0">
      <w:start w:val="1"/>
      <w:numFmt w:val="none"/>
      <w:suff w:val="nothing"/>
      <w:lvlText w:val="　"/>
      <w:lvlJc w:val="left"/>
      <w:pPr>
        <w:ind w:left="0" w:firstLine="0"/>
      </w:pPr>
    </w:lvl>
    <w:lvl w:ilvl="1" w:tentative="0">
      <w:start w:val="1"/>
      <w:numFmt w:val="decimal"/>
      <w:isLgl/>
      <w:suff w:val="nothing"/>
      <w:lvlText w:val="%2　"/>
      <w:lvlJc w:val="left"/>
      <w:pPr>
        <w:ind w:left="0" w:firstLine="0"/>
      </w:pPr>
    </w:lvl>
    <w:lvl w:ilvl="2" w:tentative="0">
      <w:start w:val="1"/>
      <w:numFmt w:val="decimal"/>
      <w:pStyle w:val="116"/>
      <w:suff w:val="nothing"/>
      <w:lvlText w:val="%1%2.%3　"/>
      <w:lvlJc w:val="left"/>
      <w:pPr>
        <w:ind w:left="0" w:firstLine="0"/>
      </w:pPr>
    </w:lvl>
    <w:lvl w:ilvl="3" w:tentative="0">
      <w:start w:val="1"/>
      <w:numFmt w:val="decimal"/>
      <w:pStyle w:val="174"/>
      <w:suff w:val="nothing"/>
      <w:lvlText w:val="%1%2.%3.%4　"/>
      <w:lvlJc w:val="left"/>
      <w:pPr>
        <w:ind w:left="0" w:firstLine="0"/>
      </w:pPr>
    </w:lvl>
    <w:lvl w:ilvl="4" w:tentative="0">
      <w:start w:val="1"/>
      <w:numFmt w:val="decimal"/>
      <w:pStyle w:val="183"/>
      <w:suff w:val="nothing"/>
      <w:lvlText w:val="%1%2.%3.%4.%5　"/>
      <w:lvlJc w:val="left"/>
      <w:pPr>
        <w:ind w:left="0" w:firstLine="0"/>
      </w:pPr>
    </w:lvl>
    <w:lvl w:ilvl="5" w:tentative="0">
      <w:start w:val="1"/>
      <w:numFmt w:val="decimal"/>
      <w:pStyle w:val="117"/>
      <w:suff w:val="nothing"/>
      <w:lvlText w:val="%1%2.%3.%4.%5.%6　"/>
      <w:lvlJc w:val="left"/>
      <w:pPr>
        <w:ind w:left="0" w:firstLine="0"/>
      </w:pPr>
    </w:lvl>
    <w:lvl w:ilvl="6" w:tentative="0">
      <w:start w:val="1"/>
      <w:numFmt w:val="decimal"/>
      <w:pStyle w:val="101"/>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6">
    <w:nsid w:val="07ED3FEA"/>
    <w:multiLevelType w:val="multilevel"/>
    <w:tmpl w:val="07ED3FEA"/>
    <w:lvl w:ilvl="0" w:tentative="0">
      <w:start w:val="1"/>
      <w:numFmt w:val="none"/>
      <w:pStyle w:val="70"/>
      <w:lvlText w:val="%1"/>
      <w:lvlJc w:val="left"/>
      <w:pPr>
        <w:ind w:left="425" w:hanging="425"/>
      </w:pPr>
      <w:rPr>
        <w:rFonts w:hint="eastAsia"/>
      </w:rPr>
    </w:lvl>
    <w:lvl w:ilvl="1" w:tentative="0">
      <w:start w:val="1"/>
      <w:numFmt w:val="decimal"/>
      <w:pStyle w:val="86"/>
      <w:suff w:val="nothing"/>
      <w:lvlText w:val="%10.%2 "/>
      <w:lvlJc w:val="left"/>
      <w:pPr>
        <w:ind w:left="0" w:firstLine="0"/>
      </w:pPr>
      <w:rPr>
        <w:rFonts w:hint="eastAsia" w:ascii="黑体" w:hAnsi="等线" w:eastAsia="黑体"/>
        <w:b w:val="0"/>
        <w:i w:val="0"/>
        <w:sz w:val="21"/>
      </w:rPr>
    </w:lvl>
    <w:lvl w:ilvl="2" w:tentative="0">
      <w:start w:val="1"/>
      <w:numFmt w:val="decimal"/>
      <w:pStyle w:val="99"/>
      <w:suff w:val="nothing"/>
      <w:lvlText w:val="%10.%2.%3 "/>
      <w:lvlJc w:val="left"/>
      <w:pPr>
        <w:ind w:left="0" w:firstLine="0"/>
      </w:pPr>
      <w:rPr>
        <w:rFonts w:hint="eastAsia" w:ascii="黑体" w:hAnsi="等线" w:eastAsia="黑体"/>
        <w:b w:val="0"/>
        <w:i w:val="0"/>
        <w:sz w:val="21"/>
      </w:rPr>
    </w:lvl>
    <w:lvl w:ilvl="3" w:tentative="0">
      <w:start w:val="1"/>
      <w:numFmt w:val="decimal"/>
      <w:pStyle w:val="106"/>
      <w:suff w:val="nothing"/>
      <w:lvlText w:val="%10.%2.%3.%4 "/>
      <w:lvlJc w:val="left"/>
      <w:pPr>
        <w:ind w:left="0" w:firstLine="0"/>
      </w:pPr>
      <w:rPr>
        <w:rFonts w:hint="eastAsia" w:ascii="黑体" w:hAnsi="等线" w:eastAsia="黑体"/>
        <w:b w:val="0"/>
        <w:i w:val="0"/>
        <w:sz w:val="21"/>
      </w:rPr>
    </w:lvl>
    <w:lvl w:ilvl="4" w:tentative="0">
      <w:start w:val="1"/>
      <w:numFmt w:val="decimal"/>
      <w:pStyle w:val="73"/>
      <w:suff w:val="nothing"/>
      <w:lvlText w:val="%10.%2.%3.%4.%5 "/>
      <w:lvlJc w:val="left"/>
      <w:pPr>
        <w:ind w:left="0" w:firstLine="0"/>
      </w:pPr>
      <w:rPr>
        <w:rFonts w:hint="eastAsia" w:ascii="黑体" w:hAnsi="等线" w:eastAsia="黑体"/>
        <w:b w:val="0"/>
        <w:i w:val="0"/>
        <w:sz w:val="21"/>
      </w:rPr>
    </w:lvl>
    <w:lvl w:ilvl="5" w:tentative="0">
      <w:start w:val="1"/>
      <w:numFmt w:val="decimal"/>
      <w:pStyle w:val="130"/>
      <w:suff w:val="nothing"/>
      <w:lvlText w:val="%10.%2.%3.%4.%5.%6 "/>
      <w:lvlJc w:val="left"/>
      <w:pPr>
        <w:ind w:left="0" w:firstLine="0"/>
      </w:pPr>
      <w:rPr>
        <w:rFonts w:hint="eastAsia" w:ascii="黑体" w:hAnsi="等线" w:eastAsia="黑体"/>
        <w:b w:val="0"/>
        <w:i w:val="0"/>
        <w:sz w:val="21"/>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7">
    <w:nsid w:val="0AE367E9"/>
    <w:multiLevelType w:val="multilevel"/>
    <w:tmpl w:val="0AE367E9"/>
    <w:lvl w:ilvl="0" w:tentative="0">
      <w:start w:val="1"/>
      <w:numFmt w:val="none"/>
      <w:pStyle w:val="177"/>
      <w:suff w:val="nothing"/>
      <w:lvlText w:val="%1示例："/>
      <w:lvlJc w:val="left"/>
      <w:pPr>
        <w:ind w:left="0" w:firstLine="363"/>
      </w:pPr>
      <w:rPr>
        <w:rFonts w:hint="eastAsia" w:ascii="黑体" w:eastAsia="黑体"/>
        <w:b w:val="0"/>
        <w:i w:val="0"/>
        <w:sz w:val="18"/>
      </w:rPr>
    </w:lvl>
    <w:lvl w:ilvl="1" w:tentative="0">
      <w:start w:val="1"/>
      <w:numFmt w:val="lowerLetter"/>
      <w:lvlText w:val="%2)"/>
      <w:lvlJc w:val="left"/>
      <w:pPr>
        <w:tabs>
          <w:tab w:val="left" w:pos="363"/>
        </w:tabs>
        <w:ind w:left="0" w:firstLine="363"/>
      </w:pPr>
      <w:rPr>
        <w:rFonts w:hint="eastAsia"/>
      </w:rPr>
    </w:lvl>
    <w:lvl w:ilvl="2" w:tentative="0">
      <w:start w:val="1"/>
      <w:numFmt w:val="lowerRoman"/>
      <w:lvlText w:val="%3."/>
      <w:lvlJc w:val="right"/>
      <w:pPr>
        <w:tabs>
          <w:tab w:val="left" w:pos="363"/>
        </w:tabs>
        <w:ind w:left="0" w:firstLine="363"/>
      </w:pPr>
      <w:rPr>
        <w:rFonts w:hint="eastAsia"/>
      </w:rPr>
    </w:lvl>
    <w:lvl w:ilvl="3" w:tentative="0">
      <w:start w:val="1"/>
      <w:numFmt w:val="decimal"/>
      <w:lvlText w:val="%4."/>
      <w:lvlJc w:val="left"/>
      <w:pPr>
        <w:tabs>
          <w:tab w:val="left" w:pos="363"/>
        </w:tabs>
        <w:ind w:left="0" w:firstLine="363"/>
      </w:pPr>
      <w:rPr>
        <w:rFonts w:hint="eastAsia"/>
      </w:rPr>
    </w:lvl>
    <w:lvl w:ilvl="4" w:tentative="0">
      <w:start w:val="1"/>
      <w:numFmt w:val="lowerLetter"/>
      <w:lvlText w:val="%5)"/>
      <w:lvlJc w:val="left"/>
      <w:pPr>
        <w:tabs>
          <w:tab w:val="left" w:pos="363"/>
        </w:tabs>
        <w:ind w:left="0" w:firstLine="363"/>
      </w:pPr>
      <w:rPr>
        <w:rFonts w:hint="eastAsia"/>
      </w:rPr>
    </w:lvl>
    <w:lvl w:ilvl="5" w:tentative="0">
      <w:start w:val="1"/>
      <w:numFmt w:val="lowerRoman"/>
      <w:lvlText w:val="%6."/>
      <w:lvlJc w:val="right"/>
      <w:pPr>
        <w:tabs>
          <w:tab w:val="left" w:pos="363"/>
        </w:tabs>
        <w:ind w:left="0" w:firstLine="363"/>
      </w:pPr>
      <w:rPr>
        <w:rFonts w:hint="eastAsia"/>
      </w:rPr>
    </w:lvl>
    <w:lvl w:ilvl="6" w:tentative="0">
      <w:start w:val="1"/>
      <w:numFmt w:val="decimal"/>
      <w:lvlText w:val="%7."/>
      <w:lvlJc w:val="left"/>
      <w:pPr>
        <w:tabs>
          <w:tab w:val="left" w:pos="363"/>
        </w:tabs>
        <w:ind w:left="0" w:firstLine="363"/>
      </w:pPr>
      <w:rPr>
        <w:rFonts w:hint="eastAsia"/>
      </w:rPr>
    </w:lvl>
    <w:lvl w:ilvl="7" w:tentative="0">
      <w:start w:val="1"/>
      <w:numFmt w:val="lowerLetter"/>
      <w:lvlText w:val="%8)"/>
      <w:lvlJc w:val="left"/>
      <w:pPr>
        <w:tabs>
          <w:tab w:val="left" w:pos="363"/>
        </w:tabs>
        <w:ind w:left="0" w:firstLine="363"/>
      </w:pPr>
      <w:rPr>
        <w:rFonts w:hint="eastAsia"/>
      </w:rPr>
    </w:lvl>
    <w:lvl w:ilvl="8" w:tentative="0">
      <w:start w:val="1"/>
      <w:numFmt w:val="lowerRoman"/>
      <w:lvlText w:val="%9."/>
      <w:lvlJc w:val="right"/>
      <w:pPr>
        <w:tabs>
          <w:tab w:val="left" w:pos="363"/>
        </w:tabs>
        <w:ind w:left="0" w:firstLine="363"/>
      </w:pPr>
      <w:rPr>
        <w:rFonts w:hint="eastAsia"/>
      </w:rPr>
    </w:lvl>
  </w:abstractNum>
  <w:abstractNum w:abstractNumId="8">
    <w:nsid w:val="0BDC1670"/>
    <w:multiLevelType w:val="multilevel"/>
    <w:tmpl w:val="0BDC1670"/>
    <w:lvl w:ilvl="0" w:tentative="0">
      <w:start w:val="1"/>
      <w:numFmt w:val="decimal"/>
      <w:pStyle w:val="182"/>
      <w:lvlText w:val="[%1]"/>
      <w:lvlJc w:val="left"/>
      <w:pPr>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9">
    <w:nsid w:val="0D051F45"/>
    <w:multiLevelType w:val="multilevel"/>
    <w:tmpl w:val="0D051F45"/>
    <w:lvl w:ilvl="0" w:tentative="0">
      <w:start w:val="1"/>
      <w:numFmt w:val="lowerRoman"/>
      <w:pStyle w:val="87"/>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543"/>
        </w:tabs>
        <w:ind w:left="1543" w:hanging="420"/>
      </w:pPr>
      <w:rPr>
        <w:rFonts w:hint="eastAsia"/>
      </w:rPr>
    </w:lvl>
    <w:lvl w:ilvl="2" w:tentative="0">
      <w:start w:val="1"/>
      <w:numFmt w:val="lowerRoman"/>
      <w:lvlText w:val="%3."/>
      <w:lvlJc w:val="right"/>
      <w:pPr>
        <w:tabs>
          <w:tab w:val="left" w:pos="1963"/>
        </w:tabs>
        <w:ind w:left="1963" w:hanging="420"/>
      </w:pPr>
      <w:rPr>
        <w:rFonts w:hint="eastAsia"/>
      </w:rPr>
    </w:lvl>
    <w:lvl w:ilvl="3" w:tentative="0">
      <w:start w:val="1"/>
      <w:numFmt w:val="decimal"/>
      <w:lvlText w:val="%4."/>
      <w:lvlJc w:val="left"/>
      <w:pPr>
        <w:tabs>
          <w:tab w:val="left" w:pos="2383"/>
        </w:tabs>
        <w:ind w:left="2383" w:hanging="420"/>
      </w:pPr>
      <w:rPr>
        <w:rFonts w:hint="eastAsia"/>
      </w:rPr>
    </w:lvl>
    <w:lvl w:ilvl="4" w:tentative="0">
      <w:start w:val="1"/>
      <w:numFmt w:val="lowerLetter"/>
      <w:lvlText w:val="%5)"/>
      <w:lvlJc w:val="left"/>
      <w:pPr>
        <w:tabs>
          <w:tab w:val="left" w:pos="2803"/>
        </w:tabs>
        <w:ind w:left="2803" w:hanging="420"/>
      </w:pPr>
      <w:rPr>
        <w:rFonts w:hint="eastAsia"/>
      </w:rPr>
    </w:lvl>
    <w:lvl w:ilvl="5" w:tentative="0">
      <w:start w:val="1"/>
      <w:numFmt w:val="lowerRoman"/>
      <w:lvlText w:val="%6."/>
      <w:lvlJc w:val="right"/>
      <w:pPr>
        <w:tabs>
          <w:tab w:val="left" w:pos="3223"/>
        </w:tabs>
        <w:ind w:left="3223" w:hanging="420"/>
      </w:pPr>
      <w:rPr>
        <w:rFonts w:hint="eastAsia"/>
      </w:rPr>
    </w:lvl>
    <w:lvl w:ilvl="6" w:tentative="0">
      <w:start w:val="1"/>
      <w:numFmt w:val="decimal"/>
      <w:lvlText w:val="%7."/>
      <w:lvlJc w:val="left"/>
      <w:pPr>
        <w:tabs>
          <w:tab w:val="left" w:pos="3643"/>
        </w:tabs>
        <w:ind w:left="3643" w:hanging="420"/>
      </w:pPr>
      <w:rPr>
        <w:rFonts w:hint="eastAsia"/>
      </w:rPr>
    </w:lvl>
    <w:lvl w:ilvl="7" w:tentative="0">
      <w:start w:val="1"/>
      <w:numFmt w:val="lowerLetter"/>
      <w:lvlText w:val="%8)"/>
      <w:lvlJc w:val="left"/>
      <w:pPr>
        <w:tabs>
          <w:tab w:val="left" w:pos="4063"/>
        </w:tabs>
        <w:ind w:left="4063" w:hanging="420"/>
      </w:pPr>
      <w:rPr>
        <w:rFonts w:hint="eastAsia"/>
      </w:rPr>
    </w:lvl>
    <w:lvl w:ilvl="8" w:tentative="0">
      <w:start w:val="1"/>
      <w:numFmt w:val="lowerRoman"/>
      <w:lvlText w:val="%9."/>
      <w:lvlJc w:val="right"/>
      <w:pPr>
        <w:tabs>
          <w:tab w:val="left" w:pos="4483"/>
        </w:tabs>
        <w:ind w:left="4483" w:hanging="420"/>
      </w:pPr>
      <w:rPr>
        <w:rFonts w:hint="eastAsia"/>
      </w:rPr>
    </w:lvl>
  </w:abstractNum>
  <w:abstractNum w:abstractNumId="10">
    <w:nsid w:val="0E25496D"/>
    <w:multiLevelType w:val="singleLevel"/>
    <w:tmpl w:val="0E25496D"/>
    <w:lvl w:ilvl="0" w:tentative="0">
      <w:start w:val="1"/>
      <w:numFmt w:val="decimal"/>
      <w:pStyle w:val="12"/>
      <w:lvlText w:val="%1."/>
      <w:lvlJc w:val="left"/>
      <w:pPr>
        <w:tabs>
          <w:tab w:val="left" w:pos="360"/>
        </w:tabs>
        <w:ind w:left="360" w:hanging="360"/>
      </w:pPr>
    </w:lvl>
  </w:abstractNum>
  <w:abstractNum w:abstractNumId="11">
    <w:nsid w:val="157ECC26"/>
    <w:multiLevelType w:val="multilevel"/>
    <w:tmpl w:val="157ECC26"/>
    <w:lvl w:ilvl="0" w:tentative="0">
      <w:start w:val="1"/>
      <w:numFmt w:val="lowerLetter"/>
      <w:pStyle w:val="137"/>
      <w:lvlText w:val="%1)"/>
      <w:lvlJc w:val="left"/>
      <w:pPr>
        <w:tabs>
          <w:tab w:val="left" w:pos="851"/>
        </w:tabs>
        <w:ind w:left="851" w:hanging="426"/>
      </w:pPr>
      <w:rPr>
        <w:rFonts w:hint="eastAsia" w:ascii="宋体" w:hAnsi="Times New Roman" w:eastAsia="宋体"/>
        <w:sz w:val="21"/>
      </w:rPr>
    </w:lvl>
    <w:lvl w:ilvl="1" w:tentative="0">
      <w:start w:val="1"/>
      <w:numFmt w:val="decimal"/>
      <w:pStyle w:val="228"/>
      <w:lvlText w:val="%2)"/>
      <w:lvlJc w:val="left"/>
      <w:pPr>
        <w:tabs>
          <w:tab w:val="left" w:pos="1276"/>
        </w:tabs>
        <w:ind w:left="1276" w:hanging="425"/>
      </w:pPr>
      <w:rPr>
        <w:rFonts w:hint="eastAsia" w:ascii="宋体" w:hAnsi="Times New Roman" w:eastAsia="宋体"/>
        <w:sz w:val="21"/>
      </w:rPr>
    </w:lvl>
    <w:lvl w:ilvl="2" w:tentative="0">
      <w:start w:val="1"/>
      <w:numFmt w:val="decimal"/>
      <w:pStyle w:val="173"/>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12">
    <w:nsid w:val="1AD20F90"/>
    <w:multiLevelType w:val="multilevel"/>
    <w:tmpl w:val="1AD20F90"/>
    <w:lvl w:ilvl="0" w:tentative="0">
      <w:start w:val="1"/>
      <w:numFmt w:val="none"/>
      <w:pStyle w:val="193"/>
      <w:lvlText w:val="%1注："/>
      <w:lvlJc w:val="left"/>
      <w:pPr>
        <w:tabs>
          <w:tab w:val="left" w:pos="845"/>
        </w:tabs>
        <w:ind w:left="-102" w:firstLine="419"/>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3">
    <w:nsid w:val="1AF15012"/>
    <w:multiLevelType w:val="multilevel"/>
    <w:tmpl w:val="1AF15012"/>
    <w:lvl w:ilvl="0" w:tentative="0">
      <w:start w:val="1"/>
      <w:numFmt w:val="upperLetter"/>
      <w:pStyle w:val="91"/>
      <w:suff w:val="nothing"/>
      <w:lvlText w:val="附 录(Annex) %1"/>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14">
    <w:nsid w:val="1EAA1992"/>
    <w:multiLevelType w:val="multilevel"/>
    <w:tmpl w:val="1EAA1992"/>
    <w:lvl w:ilvl="0" w:tentative="0">
      <w:start w:val="1"/>
      <w:numFmt w:val="none"/>
      <w:pStyle w:val="97"/>
      <w:suff w:val="nothing"/>
      <w:lvlText w:val="——"/>
      <w:lvlJc w:val="left"/>
      <w:pPr>
        <w:ind w:left="794" w:hanging="397"/>
      </w:pPr>
    </w:lvl>
    <w:lvl w:ilvl="1" w:tentative="0">
      <w:start w:val="1"/>
      <w:numFmt w:val="decimal"/>
      <w:suff w:val="nothing"/>
      <w:lvlText w:val="%1.%2　"/>
      <w:lvlJc w:val="left"/>
      <w:pPr>
        <w:ind w:left="397" w:firstLine="0"/>
      </w:pPr>
    </w:lvl>
    <w:lvl w:ilvl="2" w:tentative="0">
      <w:start w:val="1"/>
      <w:numFmt w:val="decimal"/>
      <w:suff w:val="nothing"/>
      <w:lvlText w:val="%1.%2.%3　"/>
      <w:lvlJc w:val="left"/>
      <w:pPr>
        <w:ind w:left="397" w:firstLine="0"/>
      </w:pPr>
    </w:lvl>
    <w:lvl w:ilvl="3" w:tentative="0">
      <w:start w:val="1"/>
      <w:numFmt w:val="decimal"/>
      <w:suff w:val="nothing"/>
      <w:lvlText w:val="%1.%2.%3.%4　"/>
      <w:lvlJc w:val="left"/>
      <w:pPr>
        <w:ind w:left="397" w:firstLine="0"/>
      </w:pPr>
    </w:lvl>
    <w:lvl w:ilvl="4" w:tentative="0">
      <w:start w:val="1"/>
      <w:numFmt w:val="decimal"/>
      <w:suff w:val="nothing"/>
      <w:lvlText w:val="%1.%2.%3.%4.%5　"/>
      <w:lvlJc w:val="left"/>
      <w:pPr>
        <w:ind w:left="397" w:firstLine="0"/>
      </w:pPr>
    </w:lvl>
    <w:lvl w:ilvl="5" w:tentative="0">
      <w:start w:val="1"/>
      <w:numFmt w:val="decimal"/>
      <w:suff w:val="nothing"/>
      <w:lvlText w:val="%1.%2.%3.%4.%5.%6　"/>
      <w:lvlJc w:val="left"/>
      <w:pPr>
        <w:ind w:left="397" w:firstLine="0"/>
      </w:pPr>
    </w:lvl>
    <w:lvl w:ilvl="6" w:tentative="0">
      <w:start w:val="1"/>
      <w:numFmt w:val="decimal"/>
      <w:suff w:val="nothing"/>
      <w:lvlText w:val="%1.%2.%3.%4.%5.%6.%7　"/>
      <w:lvlJc w:val="left"/>
      <w:pPr>
        <w:ind w:left="397" w:firstLine="0"/>
      </w:pPr>
    </w:lvl>
    <w:lvl w:ilvl="7" w:tentative="0">
      <w:start w:val="1"/>
      <w:numFmt w:val="decimal"/>
      <w:lvlText w:val="%1.%2.%3.%4.%5.%6.%7.%8"/>
      <w:lvlJc w:val="left"/>
      <w:pPr>
        <w:tabs>
          <w:tab w:val="left" w:pos="4791"/>
        </w:tabs>
        <w:ind w:left="4791" w:hanging="1418"/>
      </w:pPr>
    </w:lvl>
    <w:lvl w:ilvl="8" w:tentative="0">
      <w:start w:val="1"/>
      <w:numFmt w:val="decimal"/>
      <w:lvlText w:val="%1.%2.%3.%4.%5.%6.%7.%8.%9"/>
      <w:lvlJc w:val="left"/>
      <w:pPr>
        <w:tabs>
          <w:tab w:val="left" w:pos="5499"/>
        </w:tabs>
        <w:ind w:left="5499" w:hanging="1700"/>
      </w:pPr>
    </w:lvl>
  </w:abstractNum>
  <w:abstractNum w:abstractNumId="15">
    <w:nsid w:val="2C5917C3"/>
    <w:multiLevelType w:val="multilevel"/>
    <w:tmpl w:val="2C5917C3"/>
    <w:lvl w:ilvl="0" w:tentative="0">
      <w:start w:val="1"/>
      <w:numFmt w:val="none"/>
      <w:pStyle w:val="127"/>
      <w:lvlText w:val="%1——"/>
      <w:lvlJc w:val="left"/>
      <w:pPr>
        <w:tabs>
          <w:tab w:val="left" w:pos="851"/>
        </w:tabs>
        <w:ind w:left="851" w:hanging="426"/>
      </w:pPr>
      <w:rPr>
        <w:rFonts w:hint="eastAsia" w:ascii="宋体" w:hAnsi="Times New Roman" w:eastAsia="宋体"/>
        <w:b w:val="0"/>
        <w:i w:val="0"/>
        <w:sz w:val="21"/>
      </w:rPr>
    </w:lvl>
    <w:lvl w:ilvl="1" w:tentative="0">
      <w:start w:val="1"/>
      <w:numFmt w:val="none"/>
      <w:pStyle w:val="214"/>
      <w:lvlText w:val=""/>
      <w:lvlJc w:val="left"/>
      <w:pPr>
        <w:ind w:left="851" w:hanging="431"/>
      </w:pPr>
      <w:rPr>
        <w:rFonts w:hint="default" w:ascii="Symbol" w:hAnsi="Symbol"/>
        <w:sz w:val="21"/>
      </w:rPr>
    </w:lvl>
    <w:lvl w:ilvl="2" w:tentative="0">
      <w:start w:val="1"/>
      <w:numFmt w:val="bullet"/>
      <w:pStyle w:val="131"/>
      <w:lvlText w:val=""/>
      <w:lvlJc w:val="left"/>
      <w:pPr>
        <w:ind w:left="851" w:hanging="426"/>
      </w:pPr>
      <w:rPr>
        <w:rFonts w:hint="default" w:ascii="Wingdings" w:hAnsi="Wingdings"/>
        <w:sz w:val="21"/>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6">
    <w:nsid w:val="48802D1C"/>
    <w:multiLevelType w:val="multilevel"/>
    <w:tmpl w:val="48802D1C"/>
    <w:lvl w:ilvl="0" w:tentative="0">
      <w:start w:val="1"/>
      <w:numFmt w:val="upperLetter"/>
      <w:pStyle w:val="215"/>
      <w:lvlText w:val="%1"/>
      <w:lvlJc w:val="left"/>
      <w:pPr>
        <w:ind w:left="420" w:hanging="420"/>
      </w:pPr>
      <w:rPr>
        <w:rFonts w:hint="eastAsia"/>
      </w:rPr>
    </w:lvl>
    <w:lvl w:ilvl="1" w:tentative="0">
      <w:start w:val="1"/>
      <w:numFmt w:val="decimal"/>
      <w:pStyle w:val="144"/>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7">
    <w:nsid w:val="4B733A5F"/>
    <w:multiLevelType w:val="multilevel"/>
    <w:tmpl w:val="4B733A5F"/>
    <w:lvl w:ilvl="0" w:tentative="0">
      <w:start w:val="1"/>
      <w:numFmt w:val="decimal"/>
      <w:pStyle w:val="151"/>
      <w:suff w:val="nothing"/>
      <w:lvlText w:val="示例%1："/>
      <w:lvlJc w:val="left"/>
      <w:pPr>
        <w:ind w:left="0" w:firstLine="363"/>
      </w:pPr>
      <w:rPr>
        <w:rFonts w:hint="eastAsia" w:ascii="黑体" w:eastAsia="黑体"/>
        <w:b w:val="0"/>
        <w:i w:val="0"/>
        <w:sz w:val="18"/>
      </w:rPr>
    </w:lvl>
    <w:lvl w:ilvl="1" w:tentative="0">
      <w:start w:val="1"/>
      <w:numFmt w:val="none"/>
      <w:suff w:val="space"/>
      <w:lvlText w:val=""/>
      <w:lvlJc w:val="left"/>
      <w:pPr>
        <w:ind w:left="0" w:firstLine="0"/>
      </w:pPr>
      <w:rPr>
        <w:rFonts w:hint="eastAsia"/>
      </w:rPr>
    </w:lvl>
    <w:lvl w:ilvl="2" w:tentative="0">
      <w:start w:val="1"/>
      <w:numFmt w:val="decimal"/>
      <w:suff w:val="space"/>
      <w:lvlText w:val="2.2.%3"/>
      <w:lvlJc w:val="left"/>
      <w:pPr>
        <w:ind w:left="0" w:firstLine="0"/>
      </w:pPr>
      <w:rPr>
        <w:rFonts w:hint="eastAsia"/>
      </w:rPr>
    </w:lvl>
    <w:lvl w:ilvl="3" w:tentative="0">
      <w:start w:val="1"/>
      <w:numFmt w:val="decimal"/>
      <w:lvlText w:val="%4."/>
      <w:lvlJc w:val="left"/>
      <w:pPr>
        <w:tabs>
          <w:tab w:val="left" w:pos="0"/>
        </w:tabs>
        <w:ind w:left="992" w:hanging="629"/>
      </w:pPr>
      <w:rPr>
        <w:rFonts w:hint="eastAsia"/>
      </w:rPr>
    </w:lvl>
    <w:lvl w:ilvl="4" w:tentative="0">
      <w:start w:val="1"/>
      <w:numFmt w:val="lowerLetter"/>
      <w:lvlText w:val="%5)"/>
      <w:lvlJc w:val="left"/>
      <w:pPr>
        <w:tabs>
          <w:tab w:val="left" w:pos="0"/>
        </w:tabs>
        <w:ind w:left="992" w:hanging="629"/>
      </w:pPr>
      <w:rPr>
        <w:rFonts w:hint="eastAsia"/>
      </w:rPr>
    </w:lvl>
    <w:lvl w:ilvl="5" w:tentative="0">
      <w:start w:val="1"/>
      <w:numFmt w:val="lowerRoman"/>
      <w:lvlText w:val="%6."/>
      <w:lvlJc w:val="right"/>
      <w:pPr>
        <w:tabs>
          <w:tab w:val="left" w:pos="0"/>
        </w:tabs>
        <w:ind w:left="992" w:hanging="629"/>
      </w:pPr>
      <w:rPr>
        <w:rFonts w:hint="eastAsia"/>
      </w:rPr>
    </w:lvl>
    <w:lvl w:ilvl="6" w:tentative="0">
      <w:start w:val="1"/>
      <w:numFmt w:val="decimal"/>
      <w:lvlText w:val="%7."/>
      <w:lvlJc w:val="left"/>
      <w:pPr>
        <w:tabs>
          <w:tab w:val="left" w:pos="0"/>
        </w:tabs>
        <w:ind w:left="992" w:hanging="629"/>
      </w:pPr>
      <w:rPr>
        <w:rFonts w:hint="eastAsia"/>
      </w:rPr>
    </w:lvl>
    <w:lvl w:ilvl="7" w:tentative="0">
      <w:start w:val="1"/>
      <w:numFmt w:val="lowerLetter"/>
      <w:lvlText w:val="%8)"/>
      <w:lvlJc w:val="left"/>
      <w:pPr>
        <w:tabs>
          <w:tab w:val="left" w:pos="0"/>
        </w:tabs>
        <w:ind w:left="992" w:hanging="629"/>
      </w:pPr>
      <w:rPr>
        <w:rFonts w:hint="eastAsia"/>
      </w:rPr>
    </w:lvl>
    <w:lvl w:ilvl="8" w:tentative="0">
      <w:start w:val="1"/>
      <w:numFmt w:val="lowerRoman"/>
      <w:lvlText w:val="%9."/>
      <w:lvlJc w:val="right"/>
      <w:pPr>
        <w:tabs>
          <w:tab w:val="left" w:pos="0"/>
        </w:tabs>
        <w:ind w:left="992" w:hanging="629"/>
      </w:pPr>
      <w:rPr>
        <w:rFonts w:hint="eastAsia"/>
      </w:rPr>
    </w:lvl>
  </w:abstractNum>
  <w:abstractNum w:abstractNumId="18">
    <w:nsid w:val="4E5D0534"/>
    <w:multiLevelType w:val="multilevel"/>
    <w:tmpl w:val="4E5D0534"/>
    <w:lvl w:ilvl="0" w:tentative="0">
      <w:start w:val="1"/>
      <w:numFmt w:val="decimal"/>
      <w:pStyle w:val="146"/>
      <w:suff w:val="nothing"/>
      <w:lvlText w:val="Figur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19">
    <w:nsid w:val="54632751"/>
    <w:multiLevelType w:val="multilevel"/>
    <w:tmpl w:val="54632751"/>
    <w:lvl w:ilvl="0" w:tentative="0">
      <w:start w:val="1"/>
      <w:numFmt w:val="none"/>
      <w:pStyle w:val="96"/>
      <w:suff w:val="nothing"/>
      <w:lvlText w:val="——"/>
      <w:lvlJc w:val="left"/>
      <w:pPr>
        <w:ind w:left="1588" w:firstLine="0"/>
      </w:pPr>
    </w:lvl>
    <w:lvl w:ilvl="1" w:tentative="0">
      <w:start w:val="1"/>
      <w:numFmt w:val="decimal"/>
      <w:suff w:val="nothing"/>
      <w:lvlText w:val="%1.%2　"/>
      <w:lvlJc w:val="left"/>
      <w:pPr>
        <w:ind w:left="1588" w:firstLine="0"/>
      </w:pPr>
    </w:lvl>
    <w:lvl w:ilvl="2" w:tentative="0">
      <w:start w:val="1"/>
      <w:numFmt w:val="decimal"/>
      <w:suff w:val="nothing"/>
      <w:lvlText w:val="%1.%2.%3　"/>
      <w:lvlJc w:val="left"/>
      <w:pPr>
        <w:ind w:left="1588" w:firstLine="0"/>
      </w:pPr>
    </w:lvl>
    <w:lvl w:ilvl="3" w:tentative="0">
      <w:start w:val="1"/>
      <w:numFmt w:val="decimal"/>
      <w:suff w:val="nothing"/>
      <w:lvlText w:val="%1.%2.%3.%4　"/>
      <w:lvlJc w:val="left"/>
      <w:pPr>
        <w:ind w:left="1588" w:firstLine="0"/>
      </w:pPr>
    </w:lvl>
    <w:lvl w:ilvl="4" w:tentative="0">
      <w:start w:val="1"/>
      <w:numFmt w:val="decimal"/>
      <w:suff w:val="nothing"/>
      <w:lvlText w:val="%1.%2.%3.%4.%5　"/>
      <w:lvlJc w:val="left"/>
      <w:pPr>
        <w:ind w:left="1588" w:firstLine="0"/>
      </w:pPr>
    </w:lvl>
    <w:lvl w:ilvl="5" w:tentative="0">
      <w:start w:val="1"/>
      <w:numFmt w:val="decimal"/>
      <w:suff w:val="nothing"/>
      <w:lvlText w:val="%1.%2.%3.%4.%5.%6　"/>
      <w:lvlJc w:val="left"/>
      <w:pPr>
        <w:ind w:left="1588" w:firstLine="0"/>
      </w:pPr>
    </w:lvl>
    <w:lvl w:ilvl="6" w:tentative="0">
      <w:start w:val="1"/>
      <w:numFmt w:val="decimal"/>
      <w:suff w:val="nothing"/>
      <w:lvlText w:val="%1.%2.%3.%4.%5.%6.%7　"/>
      <w:lvlJc w:val="left"/>
      <w:pPr>
        <w:ind w:left="1588" w:firstLine="0"/>
      </w:pPr>
    </w:lvl>
    <w:lvl w:ilvl="7" w:tentative="0">
      <w:start w:val="1"/>
      <w:numFmt w:val="decimal"/>
      <w:lvlText w:val="%1.%2.%3.%4.%5.%6.%7.%8"/>
      <w:lvlJc w:val="left"/>
      <w:pPr>
        <w:tabs>
          <w:tab w:val="left" w:pos="5982"/>
        </w:tabs>
        <w:ind w:left="5982" w:hanging="1418"/>
      </w:pPr>
    </w:lvl>
    <w:lvl w:ilvl="8" w:tentative="0">
      <w:start w:val="1"/>
      <w:numFmt w:val="decimal"/>
      <w:lvlText w:val="%1.%2.%3.%4.%5.%6.%7.%8.%9"/>
      <w:lvlJc w:val="left"/>
      <w:pPr>
        <w:tabs>
          <w:tab w:val="left" w:pos="6690"/>
        </w:tabs>
        <w:ind w:left="6690" w:hanging="1700"/>
      </w:pPr>
    </w:lvl>
  </w:abstractNum>
  <w:abstractNum w:abstractNumId="20">
    <w:nsid w:val="557C2AF5"/>
    <w:multiLevelType w:val="multilevel"/>
    <w:tmpl w:val="557C2AF5"/>
    <w:lvl w:ilvl="0" w:tentative="0">
      <w:start w:val="1"/>
      <w:numFmt w:val="decimal"/>
      <w:pStyle w:val="148"/>
      <w:suff w:val="nothing"/>
      <w:lvlText w:val="图%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21">
    <w:nsid w:val="5603797C"/>
    <w:multiLevelType w:val="multilevel"/>
    <w:tmpl w:val="5603797C"/>
    <w:lvl w:ilvl="0" w:tentative="0">
      <w:start w:val="1"/>
      <w:numFmt w:val="upperLetter"/>
      <w:pStyle w:val="85"/>
      <w:suff w:val="space"/>
      <w:lvlText w:val="%1"/>
      <w:lvlJc w:val="left"/>
      <w:pPr>
        <w:ind w:left="425" w:hanging="425"/>
      </w:pPr>
      <w:rPr>
        <w:rFonts w:hint="eastAsia"/>
      </w:rPr>
    </w:lvl>
    <w:lvl w:ilvl="1" w:tentative="0">
      <w:start w:val="1"/>
      <w:numFmt w:val="decimal"/>
      <w:pStyle w:val="90"/>
      <w:suff w:val="space"/>
      <w:lvlText w:val="表%1.%2"/>
      <w:lvlJc w:val="center"/>
      <w:pPr>
        <w:ind w:left="0" w:firstLine="0"/>
      </w:pPr>
      <w:rPr>
        <w:rFonts w:hint="eastAsia" w:ascii="黑体" w:eastAsia="黑体"/>
        <w:sz w:val="21"/>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22">
    <w:nsid w:val="564D2089"/>
    <w:multiLevelType w:val="multilevel"/>
    <w:tmpl w:val="564D2089"/>
    <w:lvl w:ilvl="0" w:tentative="0">
      <w:start w:val="1"/>
      <w:numFmt w:val="none"/>
      <w:pStyle w:val="224"/>
      <w:lvlText w:val="%1注"/>
      <w:lvlJc w:val="left"/>
      <w:pPr>
        <w:tabs>
          <w:tab w:val="left" w:pos="760"/>
        </w:tabs>
        <w:ind w:left="760" w:hanging="284"/>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3">
    <w:nsid w:val="644622F9"/>
    <w:multiLevelType w:val="multilevel"/>
    <w:tmpl w:val="644622F9"/>
    <w:lvl w:ilvl="0" w:tentative="0">
      <w:start w:val="1"/>
      <w:numFmt w:val="upperRoman"/>
      <w:pStyle w:val="71"/>
      <w:lvlText w:val="%1)"/>
      <w:lvlJc w:val="left"/>
      <w:pPr>
        <w:tabs>
          <w:tab w:val="left" w:pos="851"/>
        </w:tabs>
        <w:ind w:left="851" w:hanging="426"/>
      </w:pPr>
      <w:rPr>
        <w:rFonts w:hint="eastAsia" w:ascii="宋体" w:hAnsi="Times New Roman" w:eastAsia="宋体"/>
        <w:sz w:val="21"/>
      </w:rPr>
    </w:lvl>
    <w:lvl w:ilvl="1" w:tentative="0">
      <w:start w:val="1"/>
      <w:numFmt w:val="lowerLetter"/>
      <w:lvlText w:val="%2)"/>
      <w:lvlJc w:val="left"/>
      <w:pPr>
        <w:tabs>
          <w:tab w:val="left" w:pos="1310"/>
        </w:tabs>
        <w:ind w:left="1310" w:hanging="420"/>
      </w:pPr>
      <w:rPr>
        <w:rFonts w:hint="eastAsia"/>
      </w:rPr>
    </w:lvl>
    <w:lvl w:ilvl="2" w:tentative="0">
      <w:start w:val="1"/>
      <w:numFmt w:val="lowerRoman"/>
      <w:lvlText w:val="%3."/>
      <w:lvlJc w:val="right"/>
      <w:pPr>
        <w:tabs>
          <w:tab w:val="left" w:pos="1730"/>
        </w:tabs>
        <w:ind w:left="1730" w:hanging="420"/>
      </w:pPr>
      <w:rPr>
        <w:rFonts w:hint="eastAsia"/>
      </w:rPr>
    </w:lvl>
    <w:lvl w:ilvl="3" w:tentative="0">
      <w:start w:val="1"/>
      <w:numFmt w:val="decimal"/>
      <w:lvlText w:val="%4."/>
      <w:lvlJc w:val="left"/>
      <w:pPr>
        <w:tabs>
          <w:tab w:val="left" w:pos="2150"/>
        </w:tabs>
        <w:ind w:left="2150" w:hanging="420"/>
      </w:pPr>
      <w:rPr>
        <w:rFonts w:hint="eastAsia"/>
      </w:rPr>
    </w:lvl>
    <w:lvl w:ilvl="4" w:tentative="0">
      <w:start w:val="1"/>
      <w:numFmt w:val="lowerLetter"/>
      <w:lvlText w:val="%5)"/>
      <w:lvlJc w:val="left"/>
      <w:pPr>
        <w:tabs>
          <w:tab w:val="left" w:pos="2570"/>
        </w:tabs>
        <w:ind w:left="2570" w:hanging="420"/>
      </w:pPr>
      <w:rPr>
        <w:rFonts w:hint="eastAsia"/>
      </w:rPr>
    </w:lvl>
    <w:lvl w:ilvl="5" w:tentative="0">
      <w:start w:val="1"/>
      <w:numFmt w:val="lowerRoman"/>
      <w:lvlText w:val="%6."/>
      <w:lvlJc w:val="right"/>
      <w:pPr>
        <w:tabs>
          <w:tab w:val="left" w:pos="2990"/>
        </w:tabs>
        <w:ind w:left="2990" w:hanging="420"/>
      </w:pPr>
      <w:rPr>
        <w:rFonts w:hint="eastAsia"/>
      </w:rPr>
    </w:lvl>
    <w:lvl w:ilvl="6" w:tentative="0">
      <w:start w:val="1"/>
      <w:numFmt w:val="decimal"/>
      <w:lvlText w:val="%7."/>
      <w:lvlJc w:val="left"/>
      <w:pPr>
        <w:tabs>
          <w:tab w:val="left" w:pos="3410"/>
        </w:tabs>
        <w:ind w:left="3410" w:hanging="420"/>
      </w:pPr>
      <w:rPr>
        <w:rFonts w:hint="eastAsia"/>
      </w:rPr>
    </w:lvl>
    <w:lvl w:ilvl="7" w:tentative="0">
      <w:start w:val="1"/>
      <w:numFmt w:val="lowerLetter"/>
      <w:lvlText w:val="%8)"/>
      <w:lvlJc w:val="left"/>
      <w:pPr>
        <w:tabs>
          <w:tab w:val="left" w:pos="3830"/>
        </w:tabs>
        <w:ind w:left="3830" w:hanging="420"/>
      </w:pPr>
      <w:rPr>
        <w:rFonts w:hint="eastAsia"/>
      </w:rPr>
    </w:lvl>
    <w:lvl w:ilvl="8" w:tentative="0">
      <w:start w:val="1"/>
      <w:numFmt w:val="lowerRoman"/>
      <w:lvlText w:val="%9."/>
      <w:lvlJc w:val="right"/>
      <w:pPr>
        <w:tabs>
          <w:tab w:val="left" w:pos="4250"/>
        </w:tabs>
        <w:ind w:left="4250" w:hanging="420"/>
      </w:pPr>
      <w:rPr>
        <w:rFonts w:hint="eastAsia"/>
      </w:rPr>
    </w:lvl>
  </w:abstractNum>
  <w:abstractNum w:abstractNumId="24">
    <w:nsid w:val="646260FA"/>
    <w:multiLevelType w:val="multilevel"/>
    <w:tmpl w:val="646260FA"/>
    <w:lvl w:ilvl="0" w:tentative="0">
      <w:start w:val="1"/>
      <w:numFmt w:val="decimal"/>
      <w:pStyle w:val="222"/>
      <w:suff w:val="nothing"/>
      <w:lvlText w:val="表%1　"/>
      <w:lvlJc w:val="left"/>
      <w:pPr>
        <w:ind w:left="0"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25">
    <w:nsid w:val="654A26C9"/>
    <w:multiLevelType w:val="multilevel"/>
    <w:tmpl w:val="654A26C9"/>
    <w:lvl w:ilvl="0" w:tentative="0">
      <w:start w:val="1"/>
      <w:numFmt w:val="none"/>
      <w:pStyle w:val="139"/>
      <w:lvlText w:val="──"/>
      <w:lvlJc w:val="left"/>
      <w:pPr>
        <w:ind w:left="851" w:firstLine="0"/>
      </w:pPr>
      <w:rPr>
        <w:rFonts w:hint="eastAsia" w:ascii="宋体" w:hAnsi="等线 Light" w:eastAsia="宋体"/>
        <w:b w:val="0"/>
        <w:i w:val="0"/>
        <w:sz w:val="21"/>
      </w:rPr>
    </w:lvl>
    <w:lvl w:ilvl="1" w:tentative="0">
      <w:start w:val="1"/>
      <w:numFmt w:val="bullet"/>
      <w:lvlText w:val=""/>
      <w:lvlJc w:val="left"/>
      <w:pPr>
        <w:ind w:left="1276" w:hanging="425"/>
      </w:pPr>
      <w:rPr>
        <w:rFonts w:hint="default" w:ascii="Wingdings" w:hAnsi="Wingdings"/>
      </w:rPr>
    </w:lvl>
    <w:lvl w:ilvl="2" w:tentative="0">
      <w:start w:val="1"/>
      <w:numFmt w:val="bullet"/>
      <w:lvlText w:val=""/>
      <w:lvlJc w:val="left"/>
      <w:pPr>
        <w:ind w:left="1276" w:hanging="236"/>
      </w:pPr>
      <w:rPr>
        <w:rFonts w:hint="default" w:ascii="Wingdings" w:hAnsi="Wingdings"/>
      </w:rPr>
    </w:lvl>
    <w:lvl w:ilvl="3" w:tentative="0">
      <w:start w:val="1"/>
      <w:numFmt w:val="bullet"/>
      <w:lvlText w:val=""/>
      <w:lvlJc w:val="left"/>
      <w:pPr>
        <w:ind w:left="1880" w:hanging="420"/>
      </w:pPr>
      <w:rPr>
        <w:rFonts w:hint="default" w:ascii="Wingdings" w:hAnsi="Wingdings"/>
      </w:rPr>
    </w:lvl>
    <w:lvl w:ilvl="4" w:tentative="0">
      <w:start w:val="1"/>
      <w:numFmt w:val="bullet"/>
      <w:lvlText w:val=""/>
      <w:lvlJc w:val="left"/>
      <w:pPr>
        <w:ind w:left="2300" w:hanging="420"/>
      </w:pPr>
      <w:rPr>
        <w:rFonts w:hint="default" w:ascii="Wingdings" w:hAnsi="Wingdings"/>
      </w:rPr>
    </w:lvl>
    <w:lvl w:ilvl="5" w:tentative="0">
      <w:start w:val="1"/>
      <w:numFmt w:val="bullet"/>
      <w:lvlText w:val=""/>
      <w:lvlJc w:val="left"/>
      <w:pPr>
        <w:ind w:left="2720" w:hanging="420"/>
      </w:pPr>
      <w:rPr>
        <w:rFonts w:hint="default" w:ascii="Wingdings" w:hAnsi="Wingdings"/>
      </w:rPr>
    </w:lvl>
    <w:lvl w:ilvl="6" w:tentative="0">
      <w:start w:val="1"/>
      <w:numFmt w:val="bullet"/>
      <w:lvlText w:val=""/>
      <w:lvlJc w:val="left"/>
      <w:pPr>
        <w:ind w:left="3140" w:hanging="420"/>
      </w:pPr>
      <w:rPr>
        <w:rFonts w:hint="default" w:ascii="Wingdings" w:hAnsi="Wingdings"/>
      </w:rPr>
    </w:lvl>
    <w:lvl w:ilvl="7" w:tentative="0">
      <w:start w:val="1"/>
      <w:numFmt w:val="bullet"/>
      <w:lvlText w:val=""/>
      <w:lvlJc w:val="left"/>
      <w:pPr>
        <w:ind w:left="3560" w:hanging="420"/>
      </w:pPr>
      <w:rPr>
        <w:rFonts w:hint="default" w:ascii="Wingdings" w:hAnsi="Wingdings"/>
      </w:rPr>
    </w:lvl>
    <w:lvl w:ilvl="8" w:tentative="0">
      <w:start w:val="1"/>
      <w:numFmt w:val="bullet"/>
      <w:lvlText w:val=""/>
      <w:lvlJc w:val="left"/>
      <w:pPr>
        <w:ind w:left="3980" w:hanging="420"/>
      </w:pPr>
      <w:rPr>
        <w:rFonts w:hint="default" w:ascii="Wingdings" w:hAnsi="Wingdings"/>
      </w:rPr>
    </w:lvl>
  </w:abstractNum>
  <w:abstractNum w:abstractNumId="26">
    <w:nsid w:val="657D3FBC"/>
    <w:multiLevelType w:val="multilevel"/>
    <w:tmpl w:val="657D3FBC"/>
    <w:lvl w:ilvl="0" w:tentative="0">
      <w:start w:val="1"/>
      <w:numFmt w:val="upperLetter"/>
      <w:pStyle w:val="76"/>
      <w:suff w:val="nothing"/>
      <w:lvlText w:val="附录%1"/>
      <w:lvlJc w:val="left"/>
      <w:pPr>
        <w:ind w:left="0" w:firstLine="0"/>
      </w:pPr>
      <w:rPr>
        <w:rFonts w:hint="eastAsia"/>
        <w:spacing w:val="100"/>
      </w:rPr>
    </w:lvl>
    <w:lvl w:ilvl="1" w:tentative="0">
      <w:start w:val="1"/>
      <w:numFmt w:val="decimal"/>
      <w:pStyle w:val="78"/>
      <w:suff w:val="nothing"/>
      <w:lvlText w:val="%1.%2　"/>
      <w:lvlJc w:val="left"/>
      <w:pPr>
        <w:ind w:left="0" w:firstLine="0"/>
      </w:pPr>
      <w:rPr>
        <w:rFonts w:hint="eastAsia" w:ascii="黑体" w:eastAsia="黑体"/>
        <w:b w:val="0"/>
        <w:i w:val="0"/>
        <w:sz w:val="21"/>
      </w:rPr>
    </w:lvl>
    <w:lvl w:ilvl="2" w:tentative="0">
      <w:start w:val="1"/>
      <w:numFmt w:val="decimal"/>
      <w:pStyle w:val="132"/>
      <w:suff w:val="nothing"/>
      <w:lvlText w:val="%1.%2.%3　"/>
      <w:lvlJc w:val="left"/>
      <w:pPr>
        <w:ind w:left="0" w:firstLine="0"/>
      </w:pPr>
      <w:rPr>
        <w:rFonts w:hint="eastAsia" w:ascii="黑体" w:eastAsia="黑体"/>
        <w:b w:val="0"/>
        <w:i w:val="0"/>
        <w:sz w:val="21"/>
      </w:rPr>
    </w:lvl>
    <w:lvl w:ilvl="3" w:tentative="0">
      <w:start w:val="1"/>
      <w:numFmt w:val="decimal"/>
      <w:pStyle w:val="204"/>
      <w:suff w:val="nothing"/>
      <w:lvlText w:val="%1.%2.%3.%4　"/>
      <w:lvlJc w:val="left"/>
      <w:pPr>
        <w:ind w:left="0" w:firstLine="0"/>
      </w:pPr>
      <w:rPr>
        <w:rFonts w:hint="eastAsia" w:ascii="黑体" w:eastAsia="黑体"/>
        <w:b w:val="0"/>
        <w:i w:val="0"/>
        <w:sz w:val="21"/>
      </w:rPr>
    </w:lvl>
    <w:lvl w:ilvl="4" w:tentative="0">
      <w:start w:val="1"/>
      <w:numFmt w:val="decimal"/>
      <w:pStyle w:val="200"/>
      <w:suff w:val="nothing"/>
      <w:lvlText w:val="%1.%2.%3.%4.%5　"/>
      <w:lvlJc w:val="left"/>
      <w:pPr>
        <w:ind w:left="0" w:firstLine="0"/>
      </w:pPr>
      <w:rPr>
        <w:rFonts w:hint="eastAsia" w:ascii="黑体" w:eastAsia="黑体"/>
        <w:b w:val="0"/>
        <w:i w:val="0"/>
        <w:sz w:val="21"/>
      </w:rPr>
    </w:lvl>
    <w:lvl w:ilvl="5" w:tentative="0">
      <w:start w:val="1"/>
      <w:numFmt w:val="decimal"/>
      <w:pStyle w:val="220"/>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27">
    <w:nsid w:val="671F11B1"/>
    <w:multiLevelType w:val="singleLevel"/>
    <w:tmpl w:val="671F11B1"/>
    <w:lvl w:ilvl="0" w:tentative="0">
      <w:start w:val="4"/>
      <w:numFmt w:val="chineseCounting"/>
      <w:suff w:val="nothing"/>
      <w:lvlText w:val="%1、"/>
      <w:lvlJc w:val="left"/>
      <w:rPr>
        <w:rFonts w:hint="eastAsia"/>
      </w:rPr>
    </w:lvl>
  </w:abstractNum>
  <w:abstractNum w:abstractNumId="28">
    <w:nsid w:val="69506ABF"/>
    <w:multiLevelType w:val="multilevel"/>
    <w:tmpl w:val="69506ABF"/>
    <w:lvl w:ilvl="0" w:tentative="0">
      <w:start w:val="1"/>
      <w:numFmt w:val="bullet"/>
      <w:pStyle w:val="128"/>
      <w:lvlText w:val=""/>
      <w:lvlJc w:val="left"/>
      <w:pPr>
        <w:ind w:left="851" w:firstLine="0"/>
      </w:pPr>
      <w:rPr>
        <w:rFonts w:hint="default" w:ascii="Wingdings" w:hAnsi="Wingdings"/>
        <w:color w:val="auto"/>
      </w:rPr>
    </w:lvl>
    <w:lvl w:ilvl="1" w:tentative="0">
      <w:start w:val="1"/>
      <w:numFmt w:val="lowerLetter"/>
      <w:lvlText w:val="%2)"/>
      <w:lvlJc w:val="left"/>
      <w:pPr>
        <w:ind w:left="1040" w:hanging="420"/>
      </w:pPr>
      <w:rPr>
        <w:rFonts w:hint="eastAsia"/>
      </w:rPr>
    </w:lvl>
    <w:lvl w:ilvl="2" w:tentative="0">
      <w:start w:val="1"/>
      <w:numFmt w:val="lowerRoman"/>
      <w:lvlText w:val="%3."/>
      <w:lvlJc w:val="right"/>
      <w:pPr>
        <w:ind w:left="1460" w:hanging="420"/>
      </w:pPr>
      <w:rPr>
        <w:rFonts w:hint="eastAsia"/>
      </w:rPr>
    </w:lvl>
    <w:lvl w:ilvl="3" w:tentative="0">
      <w:start w:val="1"/>
      <w:numFmt w:val="decimal"/>
      <w:lvlText w:val="%4."/>
      <w:lvlJc w:val="left"/>
      <w:pPr>
        <w:ind w:left="1880" w:hanging="420"/>
      </w:pPr>
      <w:rPr>
        <w:rFonts w:hint="eastAsia"/>
      </w:rPr>
    </w:lvl>
    <w:lvl w:ilvl="4" w:tentative="0">
      <w:start w:val="1"/>
      <w:numFmt w:val="lowerLetter"/>
      <w:lvlText w:val="%5)"/>
      <w:lvlJc w:val="left"/>
      <w:pPr>
        <w:ind w:left="2300" w:hanging="420"/>
      </w:pPr>
      <w:rPr>
        <w:rFonts w:hint="eastAsia"/>
      </w:rPr>
    </w:lvl>
    <w:lvl w:ilvl="5" w:tentative="0">
      <w:start w:val="1"/>
      <w:numFmt w:val="lowerRoman"/>
      <w:lvlText w:val="%6."/>
      <w:lvlJc w:val="right"/>
      <w:pPr>
        <w:ind w:left="2720" w:hanging="420"/>
      </w:pPr>
      <w:rPr>
        <w:rFonts w:hint="eastAsia"/>
      </w:rPr>
    </w:lvl>
    <w:lvl w:ilvl="6" w:tentative="0">
      <w:start w:val="1"/>
      <w:numFmt w:val="decimal"/>
      <w:lvlText w:val="%7."/>
      <w:lvlJc w:val="left"/>
      <w:pPr>
        <w:ind w:left="3140" w:hanging="420"/>
      </w:pPr>
      <w:rPr>
        <w:rFonts w:hint="eastAsia"/>
      </w:rPr>
    </w:lvl>
    <w:lvl w:ilvl="7" w:tentative="0">
      <w:start w:val="1"/>
      <w:numFmt w:val="lowerLetter"/>
      <w:lvlText w:val="%8)"/>
      <w:lvlJc w:val="left"/>
      <w:pPr>
        <w:ind w:left="3560" w:hanging="420"/>
      </w:pPr>
      <w:rPr>
        <w:rFonts w:hint="eastAsia"/>
      </w:rPr>
    </w:lvl>
    <w:lvl w:ilvl="8" w:tentative="0">
      <w:start w:val="1"/>
      <w:numFmt w:val="lowerRoman"/>
      <w:lvlText w:val="%9."/>
      <w:lvlJc w:val="right"/>
      <w:pPr>
        <w:ind w:left="3980" w:hanging="420"/>
      </w:pPr>
      <w:rPr>
        <w:rFonts w:hint="eastAsia"/>
      </w:rPr>
    </w:lvl>
  </w:abstractNum>
  <w:abstractNum w:abstractNumId="29">
    <w:nsid w:val="6CA41985"/>
    <w:multiLevelType w:val="multilevel"/>
    <w:tmpl w:val="6CA41985"/>
    <w:lvl w:ilvl="0" w:tentative="0">
      <w:start w:val="1"/>
      <w:numFmt w:val="decimal"/>
      <w:pStyle w:val="79"/>
      <w:lvlText w:val="%1)"/>
      <w:lvlJc w:val="left"/>
      <w:pPr>
        <w:tabs>
          <w:tab w:val="left" w:pos="823"/>
        </w:tabs>
        <w:ind w:left="823"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0">
    <w:nsid w:val="6CE42AC1"/>
    <w:multiLevelType w:val="multilevel"/>
    <w:tmpl w:val="6CE42AC1"/>
    <w:lvl w:ilvl="0" w:tentative="0">
      <w:start w:val="1"/>
      <w:numFmt w:val="lowerLetter"/>
      <w:pStyle w:val="227"/>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1">
    <w:nsid w:val="6CEA2025"/>
    <w:multiLevelType w:val="multilevel"/>
    <w:tmpl w:val="6CEA2025"/>
    <w:lvl w:ilvl="0" w:tentative="0">
      <w:start w:val="1"/>
      <w:numFmt w:val="none"/>
      <w:pStyle w:val="170"/>
      <w:suff w:val="nothing"/>
      <w:lvlText w:val="%1"/>
      <w:lvlJc w:val="left"/>
      <w:pPr>
        <w:ind w:left="0" w:firstLine="0"/>
      </w:pPr>
      <w:rPr>
        <w:rFonts w:hint="eastAsia"/>
      </w:rPr>
    </w:lvl>
    <w:lvl w:ilvl="1" w:tentative="0">
      <w:start w:val="1"/>
      <w:numFmt w:val="decimal"/>
      <w:pStyle w:val="93"/>
      <w:suff w:val="nothing"/>
      <w:lvlText w:val="%1%2　"/>
      <w:lvlJc w:val="left"/>
      <w:pPr>
        <w:ind w:left="0" w:firstLine="0"/>
      </w:pPr>
      <w:rPr>
        <w:rFonts w:hint="eastAsia" w:ascii="黑体" w:eastAsia="黑体"/>
        <w:b w:val="0"/>
        <w:i w:val="0"/>
        <w:sz w:val="21"/>
      </w:rPr>
    </w:lvl>
    <w:lvl w:ilvl="2" w:tentative="0">
      <w:start w:val="1"/>
      <w:numFmt w:val="decimal"/>
      <w:pStyle w:val="92"/>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pStyle w:val="121"/>
      <w:suff w:val="nothing"/>
      <w:lvlText w:val="%1%2.%3.%4　"/>
      <w:lvlJc w:val="left"/>
      <w:pPr>
        <w:ind w:left="0" w:firstLine="0"/>
      </w:pPr>
      <w:rPr>
        <w:rFonts w:hint="eastAsia" w:ascii="黑体" w:eastAsia="黑体"/>
        <w:b w:val="0"/>
        <w:i w:val="0"/>
        <w:sz w:val="21"/>
      </w:rPr>
    </w:lvl>
    <w:lvl w:ilvl="4" w:tentative="0">
      <w:start w:val="1"/>
      <w:numFmt w:val="decimal"/>
      <w:pStyle w:val="120"/>
      <w:suff w:val="nothing"/>
      <w:lvlText w:val="%1%2.%3.%4.%5　"/>
      <w:lvlJc w:val="left"/>
      <w:pPr>
        <w:ind w:left="0" w:firstLine="0"/>
      </w:pPr>
      <w:rPr>
        <w:rFonts w:hint="eastAsia" w:ascii="黑体" w:eastAsia="黑体"/>
        <w:b w:val="0"/>
        <w:i w:val="0"/>
        <w:sz w:val="21"/>
      </w:rPr>
    </w:lvl>
    <w:lvl w:ilvl="5" w:tentative="0">
      <w:start w:val="1"/>
      <w:numFmt w:val="decimal"/>
      <w:pStyle w:val="66"/>
      <w:suff w:val="nothing"/>
      <w:lvlText w:val="%1%2.%3.%4.%5.%6　"/>
      <w:lvlJc w:val="left"/>
      <w:pPr>
        <w:ind w:left="0" w:firstLine="0"/>
      </w:pPr>
      <w:rPr>
        <w:rFonts w:hint="eastAsia" w:ascii="黑体" w:eastAsia="黑体"/>
        <w:b w:val="0"/>
        <w:i w:val="0"/>
        <w:sz w:val="21"/>
      </w:rPr>
    </w:lvl>
    <w:lvl w:ilvl="6" w:tentative="0">
      <w:start w:val="1"/>
      <w:numFmt w:val="decimal"/>
      <w:pStyle w:val="178"/>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32">
    <w:nsid w:val="6DBF04F4"/>
    <w:multiLevelType w:val="multilevel"/>
    <w:tmpl w:val="6DBF04F4"/>
    <w:lvl w:ilvl="0" w:tentative="0">
      <w:start w:val="1"/>
      <w:numFmt w:val="none"/>
      <w:pStyle w:val="192"/>
      <w:lvlText w:val="%1注："/>
      <w:lvlJc w:val="left"/>
      <w:pPr>
        <w:ind w:left="737" w:hanging="374"/>
      </w:pPr>
      <w:rPr>
        <w:rFonts w:hint="eastAsia" w:ascii="黑体" w:eastAsia="黑体"/>
        <w:b w:val="0"/>
        <w:i w:val="0"/>
        <w:sz w:val="18"/>
      </w:rPr>
    </w:lvl>
    <w:lvl w:ilvl="1" w:tentative="0">
      <w:start w:val="1"/>
      <w:numFmt w:val="lowerLetter"/>
      <w:lvlText w:val="%2)"/>
      <w:lvlJc w:val="left"/>
      <w:pPr>
        <w:tabs>
          <w:tab w:val="left" w:pos="1140"/>
        </w:tabs>
        <w:ind w:left="726" w:hanging="363"/>
      </w:pPr>
      <w:rPr>
        <w:rFonts w:hint="eastAsia"/>
      </w:rPr>
    </w:lvl>
    <w:lvl w:ilvl="2" w:tentative="0">
      <w:start w:val="1"/>
      <w:numFmt w:val="lowerRoman"/>
      <w:lvlText w:val="%3."/>
      <w:lvlJc w:val="right"/>
      <w:pPr>
        <w:tabs>
          <w:tab w:val="left" w:pos="1140"/>
        </w:tabs>
        <w:ind w:left="726" w:hanging="363"/>
      </w:pPr>
      <w:rPr>
        <w:rFonts w:hint="eastAsia"/>
      </w:rPr>
    </w:lvl>
    <w:lvl w:ilvl="3" w:tentative="0">
      <w:start w:val="1"/>
      <w:numFmt w:val="decimal"/>
      <w:lvlText w:val="%4."/>
      <w:lvlJc w:val="left"/>
      <w:pPr>
        <w:tabs>
          <w:tab w:val="left" w:pos="1140"/>
        </w:tabs>
        <w:ind w:left="726" w:hanging="363"/>
      </w:pPr>
      <w:rPr>
        <w:rFonts w:hint="eastAsia"/>
      </w:rPr>
    </w:lvl>
    <w:lvl w:ilvl="4" w:tentative="0">
      <w:start w:val="1"/>
      <w:numFmt w:val="lowerLetter"/>
      <w:lvlText w:val="%5)"/>
      <w:lvlJc w:val="left"/>
      <w:pPr>
        <w:tabs>
          <w:tab w:val="left" w:pos="1140"/>
        </w:tabs>
        <w:ind w:left="726" w:hanging="363"/>
      </w:pPr>
      <w:rPr>
        <w:rFonts w:hint="eastAsia"/>
      </w:rPr>
    </w:lvl>
    <w:lvl w:ilvl="5" w:tentative="0">
      <w:start w:val="1"/>
      <w:numFmt w:val="lowerRoman"/>
      <w:lvlText w:val="%6."/>
      <w:lvlJc w:val="right"/>
      <w:pPr>
        <w:tabs>
          <w:tab w:val="left" w:pos="1140"/>
        </w:tabs>
        <w:ind w:left="726" w:hanging="363"/>
      </w:pPr>
      <w:rPr>
        <w:rFonts w:hint="eastAsia"/>
      </w:rPr>
    </w:lvl>
    <w:lvl w:ilvl="6" w:tentative="0">
      <w:start w:val="1"/>
      <w:numFmt w:val="decimal"/>
      <w:lvlText w:val="%7."/>
      <w:lvlJc w:val="left"/>
      <w:pPr>
        <w:tabs>
          <w:tab w:val="left" w:pos="1140"/>
        </w:tabs>
        <w:ind w:left="726" w:hanging="363"/>
      </w:pPr>
      <w:rPr>
        <w:rFonts w:hint="eastAsia"/>
      </w:rPr>
    </w:lvl>
    <w:lvl w:ilvl="7" w:tentative="0">
      <w:start w:val="1"/>
      <w:numFmt w:val="lowerLetter"/>
      <w:lvlText w:val="%8)"/>
      <w:lvlJc w:val="left"/>
      <w:pPr>
        <w:tabs>
          <w:tab w:val="left" w:pos="1140"/>
        </w:tabs>
        <w:ind w:left="726" w:hanging="363"/>
      </w:pPr>
      <w:rPr>
        <w:rFonts w:hint="eastAsia"/>
      </w:rPr>
    </w:lvl>
    <w:lvl w:ilvl="8" w:tentative="0">
      <w:start w:val="1"/>
      <w:numFmt w:val="lowerRoman"/>
      <w:lvlText w:val="%9."/>
      <w:lvlJc w:val="right"/>
      <w:pPr>
        <w:tabs>
          <w:tab w:val="left" w:pos="1140"/>
        </w:tabs>
        <w:ind w:left="726" w:hanging="363"/>
      </w:pPr>
      <w:rPr>
        <w:rFonts w:hint="eastAsia"/>
      </w:rPr>
    </w:lvl>
  </w:abstractNum>
  <w:abstractNum w:abstractNumId="33">
    <w:nsid w:val="6DF35F19"/>
    <w:multiLevelType w:val="multilevel"/>
    <w:tmpl w:val="6DF35F19"/>
    <w:lvl w:ilvl="0" w:tentative="0">
      <w:start w:val="1"/>
      <w:numFmt w:val="decimal"/>
      <w:pStyle w:val="81"/>
      <w:suff w:val="nothing"/>
      <w:lvlText w:val="Table %1　"/>
      <w:lvlJc w:val="left"/>
      <w:pPr>
        <w:ind w:left="0" w:firstLine="0"/>
      </w:pPr>
    </w:lvl>
    <w:lvl w:ilvl="1" w:tentative="0">
      <w:start w:val="1"/>
      <w:numFmt w:val="decimal"/>
      <w:suff w:val="nothing"/>
      <w:lvlText w:val="%1%2　"/>
      <w:lvlJc w:val="left"/>
      <w:pPr>
        <w:ind w:left="0" w:firstLine="0"/>
      </w:pPr>
    </w:lvl>
    <w:lvl w:ilvl="2" w:tentative="0">
      <w:start w:val="1"/>
      <w:numFmt w:val="decimal"/>
      <w:suff w:val="nothing"/>
      <w:lvlText w:val="%1%2.%3　"/>
      <w:lvlJc w:val="left"/>
      <w:pPr>
        <w:ind w:left="0" w:firstLine="0"/>
      </w:pPr>
    </w:lvl>
    <w:lvl w:ilvl="3" w:tentative="0">
      <w:start w:val="1"/>
      <w:numFmt w:val="decimal"/>
      <w:suff w:val="nothing"/>
      <w:lvlText w:val="%1%2.%3.%4　"/>
      <w:lvlJc w:val="left"/>
      <w:pPr>
        <w:ind w:left="0" w:firstLine="0"/>
      </w:pPr>
    </w:lvl>
    <w:lvl w:ilvl="4" w:tentative="0">
      <w:start w:val="1"/>
      <w:numFmt w:val="decimal"/>
      <w:suff w:val="nothing"/>
      <w:lvlText w:val="%1%2.%3.%4.%5　"/>
      <w:lvlJc w:val="left"/>
      <w:pPr>
        <w:ind w:left="0" w:firstLine="0"/>
      </w:pPr>
    </w:lvl>
    <w:lvl w:ilvl="5" w:tentative="0">
      <w:start w:val="1"/>
      <w:numFmt w:val="decimal"/>
      <w:suff w:val="nothing"/>
      <w:lvlText w:val="%1%2.%3.%4.%5.%6　"/>
      <w:lvlJc w:val="left"/>
      <w:pPr>
        <w:ind w:left="0" w:firstLine="0"/>
      </w:pPr>
    </w:lvl>
    <w:lvl w:ilvl="6" w:tentative="0">
      <w:start w:val="1"/>
      <w:numFmt w:val="decimal"/>
      <w:suff w:val="nothing"/>
      <w:lvlText w:val="%1%2.%3.%4.%5.%6.%7　"/>
      <w:lvlJc w:val="left"/>
      <w:pPr>
        <w:ind w:left="0" w:firstLine="0"/>
      </w:pPr>
    </w:lvl>
    <w:lvl w:ilvl="7" w:tentative="0">
      <w:start w:val="1"/>
      <w:numFmt w:val="decimal"/>
      <w:lvlText w:val="%1.%2.%3.%4.%5.%6.%7.%8"/>
      <w:lvlJc w:val="left"/>
      <w:pPr>
        <w:tabs>
          <w:tab w:val="left" w:pos="4348"/>
        </w:tabs>
        <w:ind w:left="3969" w:hanging="1418"/>
      </w:pPr>
    </w:lvl>
    <w:lvl w:ilvl="8" w:tentative="0">
      <w:start w:val="1"/>
      <w:numFmt w:val="decimal"/>
      <w:lvlText w:val="%1.%2.%3.%4.%5.%6.%7.%8.%9"/>
      <w:lvlJc w:val="left"/>
      <w:pPr>
        <w:tabs>
          <w:tab w:val="left" w:pos="4774"/>
        </w:tabs>
        <w:ind w:left="4677" w:hanging="1701"/>
      </w:pPr>
    </w:lvl>
  </w:abstractNum>
  <w:abstractNum w:abstractNumId="34">
    <w:nsid w:val="76933334"/>
    <w:multiLevelType w:val="multilevel"/>
    <w:tmpl w:val="76933334"/>
    <w:lvl w:ilvl="0" w:tentative="0">
      <w:start w:val="1"/>
      <w:numFmt w:val="none"/>
      <w:pStyle w:val="80"/>
      <w:lvlText w:val="%1——"/>
      <w:lvlJc w:val="left"/>
      <w:pPr>
        <w:tabs>
          <w:tab w:val="left" w:pos="330"/>
        </w:tabs>
        <w:ind w:left="948"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0"/>
  </w:num>
  <w:num w:numId="2">
    <w:abstractNumId w:val="31"/>
  </w:num>
  <w:num w:numId="3">
    <w:abstractNumId w:val="6"/>
  </w:num>
  <w:num w:numId="4">
    <w:abstractNumId w:val="23"/>
  </w:num>
  <w:num w:numId="5">
    <w:abstractNumId w:val="26"/>
  </w:num>
  <w:num w:numId="6">
    <w:abstractNumId w:val="29"/>
  </w:num>
  <w:num w:numId="7">
    <w:abstractNumId w:val="34"/>
  </w:num>
  <w:num w:numId="8">
    <w:abstractNumId w:val="33"/>
  </w:num>
  <w:num w:numId="9">
    <w:abstractNumId w:val="0"/>
  </w:num>
  <w:num w:numId="10">
    <w:abstractNumId w:val="21"/>
  </w:num>
  <w:num w:numId="11">
    <w:abstractNumId w:val="9"/>
  </w:num>
  <w:num w:numId="12">
    <w:abstractNumId w:val="13"/>
  </w:num>
  <w:num w:numId="13">
    <w:abstractNumId w:val="19"/>
  </w:num>
  <w:num w:numId="14">
    <w:abstractNumId w:val="14"/>
  </w:num>
  <w:num w:numId="15">
    <w:abstractNumId w:val="5"/>
  </w:num>
  <w:num w:numId="16">
    <w:abstractNumId w:val="2"/>
  </w:num>
  <w:num w:numId="17">
    <w:abstractNumId w:val="15"/>
  </w:num>
  <w:num w:numId="18">
    <w:abstractNumId w:val="28"/>
  </w:num>
  <w:num w:numId="19">
    <w:abstractNumId w:val="11"/>
  </w:num>
  <w:num w:numId="20">
    <w:abstractNumId w:val="25"/>
  </w:num>
  <w:num w:numId="21">
    <w:abstractNumId w:val="16"/>
  </w:num>
  <w:num w:numId="22">
    <w:abstractNumId w:val="18"/>
  </w:num>
  <w:num w:numId="23">
    <w:abstractNumId w:val="20"/>
  </w:num>
  <w:num w:numId="24">
    <w:abstractNumId w:val="17"/>
  </w:num>
  <w:num w:numId="25">
    <w:abstractNumId w:val="4"/>
  </w:num>
  <w:num w:numId="26">
    <w:abstractNumId w:val="7"/>
  </w:num>
  <w:num w:numId="27">
    <w:abstractNumId w:val="8"/>
  </w:num>
  <w:num w:numId="28">
    <w:abstractNumId w:val="32"/>
  </w:num>
  <w:num w:numId="29">
    <w:abstractNumId w:val="12"/>
  </w:num>
  <w:num w:numId="30">
    <w:abstractNumId w:val="24"/>
  </w:num>
  <w:num w:numId="31">
    <w:abstractNumId w:val="22"/>
  </w:num>
  <w:num w:numId="32">
    <w:abstractNumId w:val="30"/>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
  </w:num>
  <w:num w:numId="50">
    <w:abstractNumId w:val="1"/>
  </w:num>
  <w:num w:numId="5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bordersDoNotSurroundHeader w:val="1"/>
  <w:bordersDoNotSurroundFooter w:val="1"/>
  <w:documentProtection w:edit="forms" w:enforcement="0"/>
  <w:defaultTabStop w:val="420"/>
  <w:drawingGridHorizontalSpacing w:val="105"/>
  <w:drawingGridVerticalSpacing w:val="160"/>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k4ZmZhOTEzMGZiN2NkZWQ4MjI2Nzk0YzRjMGY5OTAifQ=="/>
  </w:docVars>
  <w:rsids>
    <w:rsidRoot w:val="7F1A06E3"/>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4249A"/>
    <w:rsid w:val="00043282"/>
    <w:rsid w:val="00044286"/>
    <w:rsid w:val="00047F28"/>
    <w:rsid w:val="000503AA"/>
    <w:rsid w:val="000506A1"/>
    <w:rsid w:val="000515DD"/>
    <w:rsid w:val="0005265A"/>
    <w:rsid w:val="000539DD"/>
    <w:rsid w:val="00053BD3"/>
    <w:rsid w:val="000556ED"/>
    <w:rsid w:val="00055FE2"/>
    <w:rsid w:val="0005616F"/>
    <w:rsid w:val="00060C2E"/>
    <w:rsid w:val="00061033"/>
    <w:rsid w:val="000619E9"/>
    <w:rsid w:val="000622D4"/>
    <w:rsid w:val="0006357D"/>
    <w:rsid w:val="00067F1E"/>
    <w:rsid w:val="00071CC0"/>
    <w:rsid w:val="00073C8C"/>
    <w:rsid w:val="00077B64"/>
    <w:rsid w:val="00080861"/>
    <w:rsid w:val="00080A1C"/>
    <w:rsid w:val="00082317"/>
    <w:rsid w:val="00083D2C"/>
    <w:rsid w:val="00086AA1"/>
    <w:rsid w:val="00087A77"/>
    <w:rsid w:val="00090CA6"/>
    <w:rsid w:val="00092B8A"/>
    <w:rsid w:val="00092FB0"/>
    <w:rsid w:val="000934C5"/>
    <w:rsid w:val="00093D25"/>
    <w:rsid w:val="00094D73"/>
    <w:rsid w:val="00096D63"/>
    <w:rsid w:val="000A0B60"/>
    <w:rsid w:val="000A0EB8"/>
    <w:rsid w:val="000A19FC"/>
    <w:rsid w:val="000A296B"/>
    <w:rsid w:val="000A7311"/>
    <w:rsid w:val="000B060F"/>
    <w:rsid w:val="000B1592"/>
    <w:rsid w:val="000B1FF2"/>
    <w:rsid w:val="000B3CDA"/>
    <w:rsid w:val="000B6A0B"/>
    <w:rsid w:val="000B77AE"/>
    <w:rsid w:val="000C0F6C"/>
    <w:rsid w:val="000C11DB"/>
    <w:rsid w:val="000C2FBD"/>
    <w:rsid w:val="000C3E10"/>
    <w:rsid w:val="000C4B41"/>
    <w:rsid w:val="000C57D6"/>
    <w:rsid w:val="000C7666"/>
    <w:rsid w:val="000D0A9C"/>
    <w:rsid w:val="000D1795"/>
    <w:rsid w:val="000D329A"/>
    <w:rsid w:val="000D4B9C"/>
    <w:rsid w:val="000D4EB6"/>
    <w:rsid w:val="000D753B"/>
    <w:rsid w:val="000E4C9E"/>
    <w:rsid w:val="000E6FD7"/>
    <w:rsid w:val="000F06E1"/>
    <w:rsid w:val="000F0E3C"/>
    <w:rsid w:val="000F19D5"/>
    <w:rsid w:val="000F2E41"/>
    <w:rsid w:val="000F4AEA"/>
    <w:rsid w:val="000F6501"/>
    <w:rsid w:val="000F67E9"/>
    <w:rsid w:val="001016A7"/>
    <w:rsid w:val="00104926"/>
    <w:rsid w:val="0010538B"/>
    <w:rsid w:val="00113B1E"/>
    <w:rsid w:val="0011711C"/>
    <w:rsid w:val="00124E4F"/>
    <w:rsid w:val="001260B7"/>
    <w:rsid w:val="001265CB"/>
    <w:rsid w:val="001321C6"/>
    <w:rsid w:val="001325C4"/>
    <w:rsid w:val="00133010"/>
    <w:rsid w:val="001337A1"/>
    <w:rsid w:val="001338EE"/>
    <w:rsid w:val="00133AAE"/>
    <w:rsid w:val="00135323"/>
    <w:rsid w:val="001356C4"/>
    <w:rsid w:val="00141114"/>
    <w:rsid w:val="00142969"/>
    <w:rsid w:val="001457E7"/>
    <w:rsid w:val="00145D9D"/>
    <w:rsid w:val="00146388"/>
    <w:rsid w:val="00147548"/>
    <w:rsid w:val="001529E5"/>
    <w:rsid w:val="00153C7E"/>
    <w:rsid w:val="00154A3E"/>
    <w:rsid w:val="00156B25"/>
    <w:rsid w:val="00156E1A"/>
    <w:rsid w:val="00157B55"/>
    <w:rsid w:val="001642FA"/>
    <w:rsid w:val="001649EB"/>
    <w:rsid w:val="00164BAF"/>
    <w:rsid w:val="00164FA8"/>
    <w:rsid w:val="00165065"/>
    <w:rsid w:val="00165434"/>
    <w:rsid w:val="0016580B"/>
    <w:rsid w:val="00165F49"/>
    <w:rsid w:val="00166B88"/>
    <w:rsid w:val="0016770A"/>
    <w:rsid w:val="00170804"/>
    <w:rsid w:val="001708E9"/>
    <w:rsid w:val="0017340B"/>
    <w:rsid w:val="00173FB1"/>
    <w:rsid w:val="00176DFD"/>
    <w:rsid w:val="001852C9"/>
    <w:rsid w:val="00190087"/>
    <w:rsid w:val="001913C4"/>
    <w:rsid w:val="00191425"/>
    <w:rsid w:val="0019348F"/>
    <w:rsid w:val="00193A07"/>
    <w:rsid w:val="00194C95"/>
    <w:rsid w:val="00195C34"/>
    <w:rsid w:val="001A1A53"/>
    <w:rsid w:val="001A234A"/>
    <w:rsid w:val="001B06E8"/>
    <w:rsid w:val="001B4F28"/>
    <w:rsid w:val="001B71D0"/>
    <w:rsid w:val="001B71EE"/>
    <w:rsid w:val="001C04A8"/>
    <w:rsid w:val="001C2C03"/>
    <w:rsid w:val="001C42F7"/>
    <w:rsid w:val="001C49E5"/>
    <w:rsid w:val="001C680C"/>
    <w:rsid w:val="001C7FEA"/>
    <w:rsid w:val="001D0499"/>
    <w:rsid w:val="001D0BBE"/>
    <w:rsid w:val="001D0ED4"/>
    <w:rsid w:val="001D1C53"/>
    <w:rsid w:val="001D212F"/>
    <w:rsid w:val="001D29D7"/>
    <w:rsid w:val="001D2DE7"/>
    <w:rsid w:val="001D411C"/>
    <w:rsid w:val="001E1B6A"/>
    <w:rsid w:val="001E2484"/>
    <w:rsid w:val="001E3CC4"/>
    <w:rsid w:val="001E4882"/>
    <w:rsid w:val="001E73AB"/>
    <w:rsid w:val="001F092D"/>
    <w:rsid w:val="001F143A"/>
    <w:rsid w:val="001F1605"/>
    <w:rsid w:val="001F2508"/>
    <w:rsid w:val="001F4816"/>
    <w:rsid w:val="001F69B4"/>
    <w:rsid w:val="001F77C7"/>
    <w:rsid w:val="00200183"/>
    <w:rsid w:val="0020107D"/>
    <w:rsid w:val="00202AA4"/>
    <w:rsid w:val="002031F7"/>
    <w:rsid w:val="002040E6"/>
    <w:rsid w:val="0020527B"/>
    <w:rsid w:val="00210B15"/>
    <w:rsid w:val="002142EA"/>
    <w:rsid w:val="002204BB"/>
    <w:rsid w:val="00221B79"/>
    <w:rsid w:val="00221C6B"/>
    <w:rsid w:val="002253A1"/>
    <w:rsid w:val="00225CF8"/>
    <w:rsid w:val="0022794E"/>
    <w:rsid w:val="00233D64"/>
    <w:rsid w:val="0023482A"/>
    <w:rsid w:val="002359CB"/>
    <w:rsid w:val="00243540"/>
    <w:rsid w:val="0024497B"/>
    <w:rsid w:val="0024515B"/>
    <w:rsid w:val="00246021"/>
    <w:rsid w:val="0024666E"/>
    <w:rsid w:val="00247F52"/>
    <w:rsid w:val="00250B25"/>
    <w:rsid w:val="00250BBE"/>
    <w:rsid w:val="00250D57"/>
    <w:rsid w:val="0025194F"/>
    <w:rsid w:val="0026148A"/>
    <w:rsid w:val="002618B9"/>
    <w:rsid w:val="00262696"/>
    <w:rsid w:val="002643C3"/>
    <w:rsid w:val="00264A0C"/>
    <w:rsid w:val="00267EF4"/>
    <w:rsid w:val="00270CB8"/>
    <w:rsid w:val="00272B08"/>
    <w:rsid w:val="00281BB8"/>
    <w:rsid w:val="00281E9E"/>
    <w:rsid w:val="00285170"/>
    <w:rsid w:val="00285361"/>
    <w:rsid w:val="00292D60"/>
    <w:rsid w:val="00294D34"/>
    <w:rsid w:val="00294E3B"/>
    <w:rsid w:val="00296193"/>
    <w:rsid w:val="00296C66"/>
    <w:rsid w:val="00296EBE"/>
    <w:rsid w:val="002974E3"/>
    <w:rsid w:val="002A084B"/>
    <w:rsid w:val="002A1260"/>
    <w:rsid w:val="002A1589"/>
    <w:rsid w:val="002A1608"/>
    <w:rsid w:val="002A195E"/>
    <w:rsid w:val="002A25DC"/>
    <w:rsid w:val="002A3AAB"/>
    <w:rsid w:val="002A4CEA"/>
    <w:rsid w:val="002A5977"/>
    <w:rsid w:val="002A5A13"/>
    <w:rsid w:val="002A7F44"/>
    <w:rsid w:val="002B0C40"/>
    <w:rsid w:val="002B1966"/>
    <w:rsid w:val="002B4508"/>
    <w:rsid w:val="002B5779"/>
    <w:rsid w:val="002B704C"/>
    <w:rsid w:val="002B7332"/>
    <w:rsid w:val="002B7F51"/>
    <w:rsid w:val="002C09E7"/>
    <w:rsid w:val="002C1B28"/>
    <w:rsid w:val="002C3F07"/>
    <w:rsid w:val="002C5278"/>
    <w:rsid w:val="002C7EBB"/>
    <w:rsid w:val="002D06C1"/>
    <w:rsid w:val="002D42B5"/>
    <w:rsid w:val="002D4F1A"/>
    <w:rsid w:val="002D6EC6"/>
    <w:rsid w:val="002D79AC"/>
    <w:rsid w:val="002E039D"/>
    <w:rsid w:val="002E22A7"/>
    <w:rsid w:val="002E4D5A"/>
    <w:rsid w:val="002E6326"/>
    <w:rsid w:val="002F30E0"/>
    <w:rsid w:val="002F35E4"/>
    <w:rsid w:val="002F3730"/>
    <w:rsid w:val="002F38E1"/>
    <w:rsid w:val="002F7AF6"/>
    <w:rsid w:val="00300E63"/>
    <w:rsid w:val="00302F5F"/>
    <w:rsid w:val="0030441D"/>
    <w:rsid w:val="00306063"/>
    <w:rsid w:val="003135E9"/>
    <w:rsid w:val="00313B85"/>
    <w:rsid w:val="00314BDF"/>
    <w:rsid w:val="00317988"/>
    <w:rsid w:val="003221B4"/>
    <w:rsid w:val="00322938"/>
    <w:rsid w:val="00322E62"/>
    <w:rsid w:val="00324EDD"/>
    <w:rsid w:val="00336C64"/>
    <w:rsid w:val="00337162"/>
    <w:rsid w:val="0034194F"/>
    <w:rsid w:val="00344605"/>
    <w:rsid w:val="003474AA"/>
    <w:rsid w:val="00350D1D"/>
    <w:rsid w:val="00352C83"/>
    <w:rsid w:val="00360008"/>
    <w:rsid w:val="003615D2"/>
    <w:rsid w:val="0036429C"/>
    <w:rsid w:val="00364A53"/>
    <w:rsid w:val="003654CB"/>
    <w:rsid w:val="00365F86"/>
    <w:rsid w:val="00365F87"/>
    <w:rsid w:val="003669D6"/>
    <w:rsid w:val="003705F4"/>
    <w:rsid w:val="00370D58"/>
    <w:rsid w:val="00371316"/>
    <w:rsid w:val="00376713"/>
    <w:rsid w:val="00381815"/>
    <w:rsid w:val="003819AF"/>
    <w:rsid w:val="003820E9"/>
    <w:rsid w:val="00382DE7"/>
    <w:rsid w:val="00384FFC"/>
    <w:rsid w:val="003872FC"/>
    <w:rsid w:val="00387ADC"/>
    <w:rsid w:val="00390020"/>
    <w:rsid w:val="003903D6"/>
    <w:rsid w:val="003906E5"/>
    <w:rsid w:val="00390EE6"/>
    <w:rsid w:val="0039118F"/>
    <w:rsid w:val="00392AD7"/>
    <w:rsid w:val="00392C1E"/>
    <w:rsid w:val="003938D9"/>
    <w:rsid w:val="00394376"/>
    <w:rsid w:val="003943FF"/>
    <w:rsid w:val="003974EB"/>
    <w:rsid w:val="00397CC5"/>
    <w:rsid w:val="003A1582"/>
    <w:rsid w:val="003A4077"/>
    <w:rsid w:val="003B09AD"/>
    <w:rsid w:val="003B1F18"/>
    <w:rsid w:val="003B5BF0"/>
    <w:rsid w:val="003B60BF"/>
    <w:rsid w:val="003B6BE3"/>
    <w:rsid w:val="003B7D21"/>
    <w:rsid w:val="003C010C"/>
    <w:rsid w:val="003C0A6C"/>
    <w:rsid w:val="003C5A43"/>
    <w:rsid w:val="003D0519"/>
    <w:rsid w:val="003D0FF6"/>
    <w:rsid w:val="003D262C"/>
    <w:rsid w:val="003D6D61"/>
    <w:rsid w:val="003E091D"/>
    <w:rsid w:val="003E1C53"/>
    <w:rsid w:val="003E2A69"/>
    <w:rsid w:val="003E2D49"/>
    <w:rsid w:val="003E2FD4"/>
    <w:rsid w:val="003E49F6"/>
    <w:rsid w:val="003F0841"/>
    <w:rsid w:val="003F23D3"/>
    <w:rsid w:val="003F3F08"/>
    <w:rsid w:val="003F49F1"/>
    <w:rsid w:val="003F6272"/>
    <w:rsid w:val="003F65EB"/>
    <w:rsid w:val="00400A89"/>
    <w:rsid w:val="00400E72"/>
    <w:rsid w:val="00401400"/>
    <w:rsid w:val="00401721"/>
    <w:rsid w:val="00404869"/>
    <w:rsid w:val="00405884"/>
    <w:rsid w:val="00407D39"/>
    <w:rsid w:val="0041477A"/>
    <w:rsid w:val="004167A3"/>
    <w:rsid w:val="00426458"/>
    <w:rsid w:val="00432DAA"/>
    <w:rsid w:val="00434305"/>
    <w:rsid w:val="004347D3"/>
    <w:rsid w:val="00435DF7"/>
    <w:rsid w:val="0044083F"/>
    <w:rsid w:val="00441AE7"/>
    <w:rsid w:val="00445574"/>
    <w:rsid w:val="004467FB"/>
    <w:rsid w:val="00452D6B"/>
    <w:rsid w:val="00454484"/>
    <w:rsid w:val="0045517B"/>
    <w:rsid w:val="00461823"/>
    <w:rsid w:val="00463B77"/>
    <w:rsid w:val="00463C7B"/>
    <w:rsid w:val="004644A6"/>
    <w:rsid w:val="004659BD"/>
    <w:rsid w:val="00466E6D"/>
    <w:rsid w:val="00470775"/>
    <w:rsid w:val="004746B1"/>
    <w:rsid w:val="0047583F"/>
    <w:rsid w:val="00484936"/>
    <w:rsid w:val="00485C89"/>
    <w:rsid w:val="00486BE3"/>
    <w:rsid w:val="004905E4"/>
    <w:rsid w:val="00490A89"/>
    <w:rsid w:val="00490AB4"/>
    <w:rsid w:val="00492F02"/>
    <w:rsid w:val="004939AE"/>
    <w:rsid w:val="004A12DF"/>
    <w:rsid w:val="004A1BA8"/>
    <w:rsid w:val="004A4B57"/>
    <w:rsid w:val="004A63FA"/>
    <w:rsid w:val="004B2701"/>
    <w:rsid w:val="004B2E1B"/>
    <w:rsid w:val="004B3E93"/>
    <w:rsid w:val="004C1FBC"/>
    <w:rsid w:val="004C3F1D"/>
    <w:rsid w:val="004C458D"/>
    <w:rsid w:val="004C7556"/>
    <w:rsid w:val="004C7E9D"/>
    <w:rsid w:val="004C7F67"/>
    <w:rsid w:val="004D076D"/>
    <w:rsid w:val="004D0EF1"/>
    <w:rsid w:val="004D0F08"/>
    <w:rsid w:val="004D2253"/>
    <w:rsid w:val="004D4406"/>
    <w:rsid w:val="004D7C42"/>
    <w:rsid w:val="004E0465"/>
    <w:rsid w:val="004E127B"/>
    <w:rsid w:val="004E1C0A"/>
    <w:rsid w:val="004E1C99"/>
    <w:rsid w:val="004E30C5"/>
    <w:rsid w:val="004E4AA5"/>
    <w:rsid w:val="004E4AEE"/>
    <w:rsid w:val="004E59E3"/>
    <w:rsid w:val="004E67C0"/>
    <w:rsid w:val="004F391A"/>
    <w:rsid w:val="004F3CFB"/>
    <w:rsid w:val="004F5DFE"/>
    <w:rsid w:val="004F6456"/>
    <w:rsid w:val="004F696E"/>
    <w:rsid w:val="004F6C71"/>
    <w:rsid w:val="004F7FFB"/>
    <w:rsid w:val="00501139"/>
    <w:rsid w:val="0050363E"/>
    <w:rsid w:val="005039BC"/>
    <w:rsid w:val="005043BB"/>
    <w:rsid w:val="00504A3D"/>
    <w:rsid w:val="00505767"/>
    <w:rsid w:val="005073F0"/>
    <w:rsid w:val="00510A7B"/>
    <w:rsid w:val="00512F6E"/>
    <w:rsid w:val="00513038"/>
    <w:rsid w:val="00514174"/>
    <w:rsid w:val="00514DF9"/>
    <w:rsid w:val="00516088"/>
    <w:rsid w:val="00516B0B"/>
    <w:rsid w:val="005220EC"/>
    <w:rsid w:val="00523F95"/>
    <w:rsid w:val="00524D65"/>
    <w:rsid w:val="00525B16"/>
    <w:rsid w:val="00533D04"/>
    <w:rsid w:val="00534804"/>
    <w:rsid w:val="00534BDF"/>
    <w:rsid w:val="005354EA"/>
    <w:rsid w:val="00535EC4"/>
    <w:rsid w:val="00535ED9"/>
    <w:rsid w:val="0053692B"/>
    <w:rsid w:val="00541853"/>
    <w:rsid w:val="00543BDA"/>
    <w:rsid w:val="005441CC"/>
    <w:rsid w:val="005479DA"/>
    <w:rsid w:val="00547BCC"/>
    <w:rsid w:val="0055013B"/>
    <w:rsid w:val="00551F6F"/>
    <w:rsid w:val="00555044"/>
    <w:rsid w:val="00561475"/>
    <w:rsid w:val="0056487B"/>
    <w:rsid w:val="00564FB9"/>
    <w:rsid w:val="00573D9E"/>
    <w:rsid w:val="00577063"/>
    <w:rsid w:val="005801E3"/>
    <w:rsid w:val="00581802"/>
    <w:rsid w:val="005836A8"/>
    <w:rsid w:val="00584262"/>
    <w:rsid w:val="00586630"/>
    <w:rsid w:val="00587ADD"/>
    <w:rsid w:val="0059059A"/>
    <w:rsid w:val="00596160"/>
    <w:rsid w:val="005966E2"/>
    <w:rsid w:val="00597007"/>
    <w:rsid w:val="005A0966"/>
    <w:rsid w:val="005A11B7"/>
    <w:rsid w:val="005A260B"/>
    <w:rsid w:val="005A4A1B"/>
    <w:rsid w:val="005A7830"/>
    <w:rsid w:val="005A7FCE"/>
    <w:rsid w:val="005B0F3F"/>
    <w:rsid w:val="005B4903"/>
    <w:rsid w:val="005B51CE"/>
    <w:rsid w:val="005B5885"/>
    <w:rsid w:val="005B5CD7"/>
    <w:rsid w:val="005B6CF6"/>
    <w:rsid w:val="005B7422"/>
    <w:rsid w:val="005C29B8"/>
    <w:rsid w:val="005C5F21"/>
    <w:rsid w:val="005C7156"/>
    <w:rsid w:val="005D0C75"/>
    <w:rsid w:val="005D4171"/>
    <w:rsid w:val="005D6A95"/>
    <w:rsid w:val="005D6B2C"/>
    <w:rsid w:val="005D6D9C"/>
    <w:rsid w:val="005E2335"/>
    <w:rsid w:val="005E34CA"/>
    <w:rsid w:val="005E3C18"/>
    <w:rsid w:val="005E7881"/>
    <w:rsid w:val="005E78E0"/>
    <w:rsid w:val="005F0D9C"/>
    <w:rsid w:val="005F284E"/>
    <w:rsid w:val="006002B2"/>
    <w:rsid w:val="006015CE"/>
    <w:rsid w:val="00604784"/>
    <w:rsid w:val="00606419"/>
    <w:rsid w:val="00607D29"/>
    <w:rsid w:val="00612952"/>
    <w:rsid w:val="00614CC1"/>
    <w:rsid w:val="00615A9D"/>
    <w:rsid w:val="00615F97"/>
    <w:rsid w:val="006162BE"/>
    <w:rsid w:val="00616BBB"/>
    <w:rsid w:val="00617387"/>
    <w:rsid w:val="006252D8"/>
    <w:rsid w:val="006259BC"/>
    <w:rsid w:val="0062636B"/>
    <w:rsid w:val="00626922"/>
    <w:rsid w:val="00632182"/>
    <w:rsid w:val="00632AE0"/>
    <w:rsid w:val="00633C17"/>
    <w:rsid w:val="00636E3E"/>
    <w:rsid w:val="006379F7"/>
    <w:rsid w:val="00637E4D"/>
    <w:rsid w:val="00640620"/>
    <w:rsid w:val="00641A1F"/>
    <w:rsid w:val="00645904"/>
    <w:rsid w:val="00651ACB"/>
    <w:rsid w:val="00651C47"/>
    <w:rsid w:val="00652AB2"/>
    <w:rsid w:val="00654EC0"/>
    <w:rsid w:val="0065525B"/>
    <w:rsid w:val="00655D4F"/>
    <w:rsid w:val="00662171"/>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A07AA"/>
    <w:rsid w:val="006A25E5"/>
    <w:rsid w:val="006A2B46"/>
    <w:rsid w:val="006A336D"/>
    <w:rsid w:val="006A37B9"/>
    <w:rsid w:val="006B2672"/>
    <w:rsid w:val="006B46A7"/>
    <w:rsid w:val="006B54BF"/>
    <w:rsid w:val="006B5F44"/>
    <w:rsid w:val="006B5F90"/>
    <w:rsid w:val="006B62E4"/>
    <w:rsid w:val="006B6973"/>
    <w:rsid w:val="006C18C1"/>
    <w:rsid w:val="006C1BBA"/>
    <w:rsid w:val="006C2079"/>
    <w:rsid w:val="006C3076"/>
    <w:rsid w:val="006C5A62"/>
    <w:rsid w:val="006C5D68"/>
    <w:rsid w:val="006C6976"/>
    <w:rsid w:val="006C6DD0"/>
    <w:rsid w:val="006D04EA"/>
    <w:rsid w:val="006D16C4"/>
    <w:rsid w:val="006D3E96"/>
    <w:rsid w:val="006D4515"/>
    <w:rsid w:val="006D4BB1"/>
    <w:rsid w:val="006D6593"/>
    <w:rsid w:val="006F03A8"/>
    <w:rsid w:val="006F2ACA"/>
    <w:rsid w:val="006F2ADC"/>
    <w:rsid w:val="006F2BFE"/>
    <w:rsid w:val="006F31E9"/>
    <w:rsid w:val="006F6284"/>
    <w:rsid w:val="007002C5"/>
    <w:rsid w:val="00704387"/>
    <w:rsid w:val="00704BC3"/>
    <w:rsid w:val="00707669"/>
    <w:rsid w:val="00711CBA"/>
    <w:rsid w:val="00711FB5"/>
    <w:rsid w:val="00712A01"/>
    <w:rsid w:val="00714F58"/>
    <w:rsid w:val="00722FBF"/>
    <w:rsid w:val="00722FC2"/>
    <w:rsid w:val="00725949"/>
    <w:rsid w:val="00727FA2"/>
    <w:rsid w:val="007322D9"/>
    <w:rsid w:val="00732BC0"/>
    <w:rsid w:val="0073720F"/>
    <w:rsid w:val="00737796"/>
    <w:rsid w:val="0074165C"/>
    <w:rsid w:val="007432CA"/>
    <w:rsid w:val="007439EB"/>
    <w:rsid w:val="00743CB4"/>
    <w:rsid w:val="00743F0A"/>
    <w:rsid w:val="007444E8"/>
    <w:rsid w:val="0074548E"/>
    <w:rsid w:val="00745773"/>
    <w:rsid w:val="00746800"/>
    <w:rsid w:val="007501A8"/>
    <w:rsid w:val="00750EE1"/>
    <w:rsid w:val="00751026"/>
    <w:rsid w:val="00752B4D"/>
    <w:rsid w:val="00755402"/>
    <w:rsid w:val="00756B26"/>
    <w:rsid w:val="00756EDF"/>
    <w:rsid w:val="0075713C"/>
    <w:rsid w:val="007609A2"/>
    <w:rsid w:val="00765C43"/>
    <w:rsid w:val="00765EFB"/>
    <w:rsid w:val="007671CA"/>
    <w:rsid w:val="00767C61"/>
    <w:rsid w:val="0077008A"/>
    <w:rsid w:val="00773C1F"/>
    <w:rsid w:val="00774DA4"/>
    <w:rsid w:val="00776599"/>
    <w:rsid w:val="0078114B"/>
    <w:rsid w:val="00781DD2"/>
    <w:rsid w:val="00783ECF"/>
    <w:rsid w:val="0078413A"/>
    <w:rsid w:val="00792362"/>
    <w:rsid w:val="007959E8"/>
    <w:rsid w:val="00795E9C"/>
    <w:rsid w:val="007A0521"/>
    <w:rsid w:val="007A061E"/>
    <w:rsid w:val="007A2E12"/>
    <w:rsid w:val="007A3475"/>
    <w:rsid w:val="007A41C8"/>
    <w:rsid w:val="007A54CE"/>
    <w:rsid w:val="007A7FFA"/>
    <w:rsid w:val="007B04EB"/>
    <w:rsid w:val="007B0D4F"/>
    <w:rsid w:val="007B5A3D"/>
    <w:rsid w:val="007B5B95"/>
    <w:rsid w:val="007B68EA"/>
    <w:rsid w:val="007C19E8"/>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10257"/>
    <w:rsid w:val="008104F5"/>
    <w:rsid w:val="00811072"/>
    <w:rsid w:val="00811369"/>
    <w:rsid w:val="00814E50"/>
    <w:rsid w:val="00815419"/>
    <w:rsid w:val="008163C8"/>
    <w:rsid w:val="0081713B"/>
    <w:rsid w:val="00817325"/>
    <w:rsid w:val="008209E6"/>
    <w:rsid w:val="00823303"/>
    <w:rsid w:val="008233B2"/>
    <w:rsid w:val="00823A9F"/>
    <w:rsid w:val="00823C85"/>
    <w:rsid w:val="00825138"/>
    <w:rsid w:val="008269DD"/>
    <w:rsid w:val="00830621"/>
    <w:rsid w:val="00831C59"/>
    <w:rsid w:val="0083348C"/>
    <w:rsid w:val="008373D3"/>
    <w:rsid w:val="00840617"/>
    <w:rsid w:val="00842A47"/>
    <w:rsid w:val="00843C13"/>
    <w:rsid w:val="008454F8"/>
    <w:rsid w:val="00851342"/>
    <w:rsid w:val="0085173A"/>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8DC"/>
    <w:rsid w:val="00893FD1"/>
    <w:rsid w:val="00894836"/>
    <w:rsid w:val="00895172"/>
    <w:rsid w:val="00895680"/>
    <w:rsid w:val="00896DFF"/>
    <w:rsid w:val="0089762C"/>
    <w:rsid w:val="008A1893"/>
    <w:rsid w:val="008A769A"/>
    <w:rsid w:val="008B0C9C"/>
    <w:rsid w:val="008B166D"/>
    <w:rsid w:val="008B17F4"/>
    <w:rsid w:val="008B3615"/>
    <w:rsid w:val="008B4AC4"/>
    <w:rsid w:val="008B50C8"/>
    <w:rsid w:val="008B5281"/>
    <w:rsid w:val="008B7E05"/>
    <w:rsid w:val="008C1797"/>
    <w:rsid w:val="008C219C"/>
    <w:rsid w:val="008C475E"/>
    <w:rsid w:val="008C619A"/>
    <w:rsid w:val="008D0CE8"/>
    <w:rsid w:val="008D2D1D"/>
    <w:rsid w:val="008D453D"/>
    <w:rsid w:val="008D53AD"/>
    <w:rsid w:val="008D562B"/>
    <w:rsid w:val="008D5733"/>
    <w:rsid w:val="008D622B"/>
    <w:rsid w:val="008D6596"/>
    <w:rsid w:val="008D666C"/>
    <w:rsid w:val="008D7B54"/>
    <w:rsid w:val="008E0C9D"/>
    <w:rsid w:val="008E1648"/>
    <w:rsid w:val="008E1B3E"/>
    <w:rsid w:val="008E2319"/>
    <w:rsid w:val="008E4BB6"/>
    <w:rsid w:val="008E5518"/>
    <w:rsid w:val="008E6A84"/>
    <w:rsid w:val="008F0CDC"/>
    <w:rsid w:val="008F17A3"/>
    <w:rsid w:val="008F1ED3"/>
    <w:rsid w:val="008F4C29"/>
    <w:rsid w:val="008F70BD"/>
    <w:rsid w:val="008F788F"/>
    <w:rsid w:val="008F7EA2"/>
    <w:rsid w:val="00902722"/>
    <w:rsid w:val="009027BC"/>
    <w:rsid w:val="009062E6"/>
    <w:rsid w:val="00911BE5"/>
    <w:rsid w:val="00913CA9"/>
    <w:rsid w:val="009145AE"/>
    <w:rsid w:val="009146CE"/>
    <w:rsid w:val="00914CA7"/>
    <w:rsid w:val="00915C3E"/>
    <w:rsid w:val="009161A8"/>
    <w:rsid w:val="0091673D"/>
    <w:rsid w:val="009245F5"/>
    <w:rsid w:val="009249EC"/>
    <w:rsid w:val="009273B3"/>
    <w:rsid w:val="009305B5"/>
    <w:rsid w:val="00934C12"/>
    <w:rsid w:val="009429D5"/>
    <w:rsid w:val="00942BF1"/>
    <w:rsid w:val="00945180"/>
    <w:rsid w:val="00945428"/>
    <w:rsid w:val="0094607B"/>
    <w:rsid w:val="00950A95"/>
    <w:rsid w:val="00952C52"/>
    <w:rsid w:val="00953425"/>
    <w:rsid w:val="00953604"/>
    <w:rsid w:val="009610DC"/>
    <w:rsid w:val="00961490"/>
    <w:rsid w:val="0096381A"/>
    <w:rsid w:val="00965E04"/>
    <w:rsid w:val="009674AD"/>
    <w:rsid w:val="0097094E"/>
    <w:rsid w:val="00970CDC"/>
    <w:rsid w:val="00977010"/>
    <w:rsid w:val="00977D02"/>
    <w:rsid w:val="009809BB"/>
    <w:rsid w:val="00982D22"/>
    <w:rsid w:val="0098364B"/>
    <w:rsid w:val="00983BF9"/>
    <w:rsid w:val="009911AF"/>
    <w:rsid w:val="00991875"/>
    <w:rsid w:val="00991F92"/>
    <w:rsid w:val="00992985"/>
    <w:rsid w:val="00993889"/>
    <w:rsid w:val="0099551B"/>
    <w:rsid w:val="00997BF1"/>
    <w:rsid w:val="009A089C"/>
    <w:rsid w:val="009A118E"/>
    <w:rsid w:val="009A21CD"/>
    <w:rsid w:val="009A278C"/>
    <w:rsid w:val="009A2BC2"/>
    <w:rsid w:val="009A3EEC"/>
    <w:rsid w:val="009A42C1"/>
    <w:rsid w:val="009A5429"/>
    <w:rsid w:val="009A72AD"/>
    <w:rsid w:val="009A7B13"/>
    <w:rsid w:val="009B09E0"/>
    <w:rsid w:val="009B0BC5"/>
    <w:rsid w:val="009B1247"/>
    <w:rsid w:val="009B6029"/>
    <w:rsid w:val="009B6971"/>
    <w:rsid w:val="009C27F1"/>
    <w:rsid w:val="009C3152"/>
    <w:rsid w:val="009C4CFA"/>
    <w:rsid w:val="009C5070"/>
    <w:rsid w:val="009D112C"/>
    <w:rsid w:val="009D47FA"/>
    <w:rsid w:val="009D50D2"/>
    <w:rsid w:val="009D6BCA"/>
    <w:rsid w:val="009E0F62"/>
    <w:rsid w:val="009E4A58"/>
    <w:rsid w:val="009E5A2D"/>
    <w:rsid w:val="009E5AB2"/>
    <w:rsid w:val="009E6219"/>
    <w:rsid w:val="009F03B3"/>
    <w:rsid w:val="00A01757"/>
    <w:rsid w:val="00A028C0"/>
    <w:rsid w:val="00A02BAE"/>
    <w:rsid w:val="00A06A6B"/>
    <w:rsid w:val="00A07E47"/>
    <w:rsid w:val="00A11A62"/>
    <w:rsid w:val="00A129D0"/>
    <w:rsid w:val="00A12C33"/>
    <w:rsid w:val="00A138BA"/>
    <w:rsid w:val="00A14C8E"/>
    <w:rsid w:val="00A153D9"/>
    <w:rsid w:val="00A15F09"/>
    <w:rsid w:val="00A169B6"/>
    <w:rsid w:val="00A2271D"/>
    <w:rsid w:val="00A236E5"/>
    <w:rsid w:val="00A237D5"/>
    <w:rsid w:val="00A24F7B"/>
    <w:rsid w:val="00A30EFC"/>
    <w:rsid w:val="00A31984"/>
    <w:rsid w:val="00A32D73"/>
    <w:rsid w:val="00A32ECE"/>
    <w:rsid w:val="00A3367B"/>
    <w:rsid w:val="00A3597D"/>
    <w:rsid w:val="00A40091"/>
    <w:rsid w:val="00A4030F"/>
    <w:rsid w:val="00A41C79"/>
    <w:rsid w:val="00A41CB5"/>
    <w:rsid w:val="00A42CDF"/>
    <w:rsid w:val="00A4452E"/>
    <w:rsid w:val="00A4472C"/>
    <w:rsid w:val="00A44E69"/>
    <w:rsid w:val="00A4661E"/>
    <w:rsid w:val="00A53236"/>
    <w:rsid w:val="00A55BD6"/>
    <w:rsid w:val="00A55D50"/>
    <w:rsid w:val="00A57142"/>
    <w:rsid w:val="00A648CD"/>
    <w:rsid w:val="00A6537A"/>
    <w:rsid w:val="00A67866"/>
    <w:rsid w:val="00A70B07"/>
    <w:rsid w:val="00A723F8"/>
    <w:rsid w:val="00A725ED"/>
    <w:rsid w:val="00A77CCB"/>
    <w:rsid w:val="00A83D8D"/>
    <w:rsid w:val="00A8446B"/>
    <w:rsid w:val="00A8473F"/>
    <w:rsid w:val="00A862D6"/>
    <w:rsid w:val="00A8715E"/>
    <w:rsid w:val="00A9295B"/>
    <w:rsid w:val="00A93B09"/>
    <w:rsid w:val="00A94140"/>
    <w:rsid w:val="00A952D7"/>
    <w:rsid w:val="00A963F7"/>
    <w:rsid w:val="00A96AD8"/>
    <w:rsid w:val="00AA052C"/>
    <w:rsid w:val="00AA0B2F"/>
    <w:rsid w:val="00AA1E45"/>
    <w:rsid w:val="00AA2A24"/>
    <w:rsid w:val="00AA4286"/>
    <w:rsid w:val="00AA456B"/>
    <w:rsid w:val="00AA567D"/>
    <w:rsid w:val="00AA57F5"/>
    <w:rsid w:val="00AA672E"/>
    <w:rsid w:val="00AA6EC9"/>
    <w:rsid w:val="00AB6309"/>
    <w:rsid w:val="00AB6C5F"/>
    <w:rsid w:val="00AB7129"/>
    <w:rsid w:val="00AC27A6"/>
    <w:rsid w:val="00AC30F7"/>
    <w:rsid w:val="00AC3A5A"/>
    <w:rsid w:val="00AC4D95"/>
    <w:rsid w:val="00AC5DF4"/>
    <w:rsid w:val="00AD0AEF"/>
    <w:rsid w:val="00AD11B7"/>
    <w:rsid w:val="00AD1A94"/>
    <w:rsid w:val="00AD1C05"/>
    <w:rsid w:val="00AD2278"/>
    <w:rsid w:val="00AD3367"/>
    <w:rsid w:val="00AD4126"/>
    <w:rsid w:val="00AD421C"/>
    <w:rsid w:val="00AD44FA"/>
    <w:rsid w:val="00AE070A"/>
    <w:rsid w:val="00AE101C"/>
    <w:rsid w:val="00AF0C18"/>
    <w:rsid w:val="00AF33F3"/>
    <w:rsid w:val="00AF469F"/>
    <w:rsid w:val="00AF47C5"/>
    <w:rsid w:val="00AF5398"/>
    <w:rsid w:val="00B049AF"/>
    <w:rsid w:val="00B07242"/>
    <w:rsid w:val="00B10534"/>
    <w:rsid w:val="00B10680"/>
    <w:rsid w:val="00B113DB"/>
    <w:rsid w:val="00B11D8A"/>
    <w:rsid w:val="00B12981"/>
    <w:rsid w:val="00B13C64"/>
    <w:rsid w:val="00B147DD"/>
    <w:rsid w:val="00B156FD"/>
    <w:rsid w:val="00B21F61"/>
    <w:rsid w:val="00B23045"/>
    <w:rsid w:val="00B261F1"/>
    <w:rsid w:val="00B265BC"/>
    <w:rsid w:val="00B27EEA"/>
    <w:rsid w:val="00B31FB1"/>
    <w:rsid w:val="00B33952"/>
    <w:rsid w:val="00B33C5E"/>
    <w:rsid w:val="00B342F4"/>
    <w:rsid w:val="00B34369"/>
    <w:rsid w:val="00B34DC2"/>
    <w:rsid w:val="00B351F7"/>
    <w:rsid w:val="00B378E5"/>
    <w:rsid w:val="00B4346D"/>
    <w:rsid w:val="00B440F4"/>
    <w:rsid w:val="00B447A5"/>
    <w:rsid w:val="00B4654C"/>
    <w:rsid w:val="00B47293"/>
    <w:rsid w:val="00B52120"/>
    <w:rsid w:val="00B54ABC"/>
    <w:rsid w:val="00B56FBE"/>
    <w:rsid w:val="00B62B58"/>
    <w:rsid w:val="00B65149"/>
    <w:rsid w:val="00B66567"/>
    <w:rsid w:val="00B66F52"/>
    <w:rsid w:val="00B66FE5"/>
    <w:rsid w:val="00B675B7"/>
    <w:rsid w:val="00B72880"/>
    <w:rsid w:val="00B758BF"/>
    <w:rsid w:val="00B827A6"/>
    <w:rsid w:val="00B831CE"/>
    <w:rsid w:val="00B86677"/>
    <w:rsid w:val="00B87131"/>
    <w:rsid w:val="00B9127B"/>
    <w:rsid w:val="00B91566"/>
    <w:rsid w:val="00B9320C"/>
    <w:rsid w:val="00B939B1"/>
    <w:rsid w:val="00B94021"/>
    <w:rsid w:val="00B96D40"/>
    <w:rsid w:val="00B97386"/>
    <w:rsid w:val="00BA263B"/>
    <w:rsid w:val="00BA42B2"/>
    <w:rsid w:val="00BA58D4"/>
    <w:rsid w:val="00BA5B9E"/>
    <w:rsid w:val="00BA7C9A"/>
    <w:rsid w:val="00BB5F8F"/>
    <w:rsid w:val="00BB657A"/>
    <w:rsid w:val="00BC1A4E"/>
    <w:rsid w:val="00BC45B0"/>
    <w:rsid w:val="00BC5DC7"/>
    <w:rsid w:val="00BC6B8B"/>
    <w:rsid w:val="00BC73D8"/>
    <w:rsid w:val="00BD1BBE"/>
    <w:rsid w:val="00BD52D7"/>
    <w:rsid w:val="00BD5AD2"/>
    <w:rsid w:val="00BD6082"/>
    <w:rsid w:val="00BD707E"/>
    <w:rsid w:val="00BE22DA"/>
    <w:rsid w:val="00BE22F3"/>
    <w:rsid w:val="00BE49EE"/>
    <w:rsid w:val="00BE5B52"/>
    <w:rsid w:val="00BE69C4"/>
    <w:rsid w:val="00BE7B8D"/>
    <w:rsid w:val="00BF0993"/>
    <w:rsid w:val="00BF10A9"/>
    <w:rsid w:val="00BF1703"/>
    <w:rsid w:val="00BF231C"/>
    <w:rsid w:val="00BF51E5"/>
    <w:rsid w:val="00BF74A6"/>
    <w:rsid w:val="00BF7CB4"/>
    <w:rsid w:val="00C013AD"/>
    <w:rsid w:val="00C04904"/>
    <w:rsid w:val="00C056B3"/>
    <w:rsid w:val="00C103E5"/>
    <w:rsid w:val="00C13319"/>
    <w:rsid w:val="00C13EE9"/>
    <w:rsid w:val="00C14D87"/>
    <w:rsid w:val="00C21540"/>
    <w:rsid w:val="00C21906"/>
    <w:rsid w:val="00C21BFA"/>
    <w:rsid w:val="00C242AC"/>
    <w:rsid w:val="00C24C8D"/>
    <w:rsid w:val="00C25FE2"/>
    <w:rsid w:val="00C26B53"/>
    <w:rsid w:val="00C279B2"/>
    <w:rsid w:val="00C33E50"/>
    <w:rsid w:val="00C34C20"/>
    <w:rsid w:val="00C35A3E"/>
    <w:rsid w:val="00C42130"/>
    <w:rsid w:val="00C423A4"/>
    <w:rsid w:val="00C44BF5"/>
    <w:rsid w:val="00C50C8A"/>
    <w:rsid w:val="00C527AC"/>
    <w:rsid w:val="00C55232"/>
    <w:rsid w:val="00C553A4"/>
    <w:rsid w:val="00C55A06"/>
    <w:rsid w:val="00C55D03"/>
    <w:rsid w:val="00C601BC"/>
    <w:rsid w:val="00C6329F"/>
    <w:rsid w:val="00C63340"/>
    <w:rsid w:val="00C643F9"/>
    <w:rsid w:val="00C64E95"/>
    <w:rsid w:val="00C655FD"/>
    <w:rsid w:val="00C71372"/>
    <w:rsid w:val="00C72410"/>
    <w:rsid w:val="00C7287F"/>
    <w:rsid w:val="00C72F0E"/>
    <w:rsid w:val="00C771EE"/>
    <w:rsid w:val="00C80CB8"/>
    <w:rsid w:val="00C819F8"/>
    <w:rsid w:val="00C8248C"/>
    <w:rsid w:val="00C84E33"/>
    <w:rsid w:val="00C86D6F"/>
    <w:rsid w:val="00C905FC"/>
    <w:rsid w:val="00C92D03"/>
    <w:rsid w:val="00C9319C"/>
    <w:rsid w:val="00C9435D"/>
    <w:rsid w:val="00C9517F"/>
    <w:rsid w:val="00C96741"/>
    <w:rsid w:val="00CA2D1B"/>
    <w:rsid w:val="00CA662A"/>
    <w:rsid w:val="00CA7AFD"/>
    <w:rsid w:val="00CA7C3C"/>
    <w:rsid w:val="00CB0189"/>
    <w:rsid w:val="00CB0BA2"/>
    <w:rsid w:val="00CB1A42"/>
    <w:rsid w:val="00CB1B0C"/>
    <w:rsid w:val="00CB2C0B"/>
    <w:rsid w:val="00CB517D"/>
    <w:rsid w:val="00CC038D"/>
    <w:rsid w:val="00CC39FF"/>
    <w:rsid w:val="00CC3C2F"/>
    <w:rsid w:val="00CC4AC8"/>
    <w:rsid w:val="00CC4C96"/>
    <w:rsid w:val="00CC5233"/>
    <w:rsid w:val="00CC5DE6"/>
    <w:rsid w:val="00CC6E4E"/>
    <w:rsid w:val="00CC6FE8"/>
    <w:rsid w:val="00CC7202"/>
    <w:rsid w:val="00CD2808"/>
    <w:rsid w:val="00CD28BF"/>
    <w:rsid w:val="00CD4092"/>
    <w:rsid w:val="00CD4A20"/>
    <w:rsid w:val="00CD50A1"/>
    <w:rsid w:val="00CD519E"/>
    <w:rsid w:val="00CD6CB9"/>
    <w:rsid w:val="00CD7196"/>
    <w:rsid w:val="00CE0C4F"/>
    <w:rsid w:val="00CE30EA"/>
    <w:rsid w:val="00CF048A"/>
    <w:rsid w:val="00CF06E2"/>
    <w:rsid w:val="00CF155A"/>
    <w:rsid w:val="00CF2947"/>
    <w:rsid w:val="00CF44B1"/>
    <w:rsid w:val="00CF6702"/>
    <w:rsid w:val="00CF686F"/>
    <w:rsid w:val="00CF6E60"/>
    <w:rsid w:val="00CF7BCA"/>
    <w:rsid w:val="00D008FD"/>
    <w:rsid w:val="00D0321C"/>
    <w:rsid w:val="00D035EC"/>
    <w:rsid w:val="00D06AB1"/>
    <w:rsid w:val="00D072ED"/>
    <w:rsid w:val="00D07A16"/>
    <w:rsid w:val="00D1067E"/>
    <w:rsid w:val="00D10F50"/>
    <w:rsid w:val="00D11272"/>
    <w:rsid w:val="00D126F5"/>
    <w:rsid w:val="00D1489E"/>
    <w:rsid w:val="00D204B0"/>
    <w:rsid w:val="00D20737"/>
    <w:rsid w:val="00D21E81"/>
    <w:rsid w:val="00D223DE"/>
    <w:rsid w:val="00D25E37"/>
    <w:rsid w:val="00D2661A"/>
    <w:rsid w:val="00D27582"/>
    <w:rsid w:val="00D32719"/>
    <w:rsid w:val="00D33333"/>
    <w:rsid w:val="00D352A2"/>
    <w:rsid w:val="00D40A83"/>
    <w:rsid w:val="00D4162B"/>
    <w:rsid w:val="00D4514F"/>
    <w:rsid w:val="00D451E2"/>
    <w:rsid w:val="00D4545E"/>
    <w:rsid w:val="00D45778"/>
    <w:rsid w:val="00D45E89"/>
    <w:rsid w:val="00D45E8D"/>
    <w:rsid w:val="00D466AE"/>
    <w:rsid w:val="00D4734F"/>
    <w:rsid w:val="00D51BF3"/>
    <w:rsid w:val="00D60F3C"/>
    <w:rsid w:val="00D63276"/>
    <w:rsid w:val="00D66846"/>
    <w:rsid w:val="00D675FB"/>
    <w:rsid w:val="00D70A16"/>
    <w:rsid w:val="00D71F25"/>
    <w:rsid w:val="00D77031"/>
    <w:rsid w:val="00D84941"/>
    <w:rsid w:val="00D84FA1"/>
    <w:rsid w:val="00D851F0"/>
    <w:rsid w:val="00D86DB7"/>
    <w:rsid w:val="00D926D0"/>
    <w:rsid w:val="00D93030"/>
    <w:rsid w:val="00D950E1"/>
    <w:rsid w:val="00D952A6"/>
    <w:rsid w:val="00D97F99"/>
    <w:rsid w:val="00DA19E7"/>
    <w:rsid w:val="00DA1E08"/>
    <w:rsid w:val="00DA24F8"/>
    <w:rsid w:val="00DA28E8"/>
    <w:rsid w:val="00DA38D3"/>
    <w:rsid w:val="00DA3932"/>
    <w:rsid w:val="00DA5446"/>
    <w:rsid w:val="00DA584D"/>
    <w:rsid w:val="00DA64F8"/>
    <w:rsid w:val="00DA6C15"/>
    <w:rsid w:val="00DA7370"/>
    <w:rsid w:val="00DB094A"/>
    <w:rsid w:val="00DB38EE"/>
    <w:rsid w:val="00DB498B"/>
    <w:rsid w:val="00DB66CA"/>
    <w:rsid w:val="00DB6BCA"/>
    <w:rsid w:val="00DC0321"/>
    <w:rsid w:val="00DC279B"/>
    <w:rsid w:val="00DC3067"/>
    <w:rsid w:val="00DC370B"/>
    <w:rsid w:val="00DC5B90"/>
    <w:rsid w:val="00DC7537"/>
    <w:rsid w:val="00DD00F2"/>
    <w:rsid w:val="00DD00FF"/>
    <w:rsid w:val="00DD0619"/>
    <w:rsid w:val="00DD07FB"/>
    <w:rsid w:val="00DD25C6"/>
    <w:rsid w:val="00DD54B0"/>
    <w:rsid w:val="00DD57EE"/>
    <w:rsid w:val="00DD6BCC"/>
    <w:rsid w:val="00DE0A4B"/>
    <w:rsid w:val="00DE2410"/>
    <w:rsid w:val="00DE2939"/>
    <w:rsid w:val="00DE51F0"/>
    <w:rsid w:val="00DE6E81"/>
    <w:rsid w:val="00DE703F"/>
    <w:rsid w:val="00DE7595"/>
    <w:rsid w:val="00DF15BE"/>
    <w:rsid w:val="00DF1961"/>
    <w:rsid w:val="00DF44DE"/>
    <w:rsid w:val="00DF5B94"/>
    <w:rsid w:val="00E01138"/>
    <w:rsid w:val="00E02DFB"/>
    <w:rsid w:val="00E030F9"/>
    <w:rsid w:val="00E0311A"/>
    <w:rsid w:val="00E03138"/>
    <w:rsid w:val="00E06404"/>
    <w:rsid w:val="00E11A85"/>
    <w:rsid w:val="00E120B1"/>
    <w:rsid w:val="00E12495"/>
    <w:rsid w:val="00E15CCD"/>
    <w:rsid w:val="00E202EF"/>
    <w:rsid w:val="00E210B5"/>
    <w:rsid w:val="00E2552F"/>
    <w:rsid w:val="00E3137A"/>
    <w:rsid w:val="00E32CCF"/>
    <w:rsid w:val="00E34A98"/>
    <w:rsid w:val="00E35D1E"/>
    <w:rsid w:val="00E364F9"/>
    <w:rsid w:val="00E365FA"/>
    <w:rsid w:val="00E40C94"/>
    <w:rsid w:val="00E440E4"/>
    <w:rsid w:val="00E44A83"/>
    <w:rsid w:val="00E502C1"/>
    <w:rsid w:val="00E502DD"/>
    <w:rsid w:val="00E50D3A"/>
    <w:rsid w:val="00E51387"/>
    <w:rsid w:val="00E51E68"/>
    <w:rsid w:val="00E52EFD"/>
    <w:rsid w:val="00E5408A"/>
    <w:rsid w:val="00E56800"/>
    <w:rsid w:val="00E60CD7"/>
    <w:rsid w:val="00E62FF9"/>
    <w:rsid w:val="00E635D6"/>
    <w:rsid w:val="00E639BC"/>
    <w:rsid w:val="00E664CC"/>
    <w:rsid w:val="00E70388"/>
    <w:rsid w:val="00E70F92"/>
    <w:rsid w:val="00E74C54"/>
    <w:rsid w:val="00E77A03"/>
    <w:rsid w:val="00E82192"/>
    <w:rsid w:val="00E822E8"/>
    <w:rsid w:val="00E82554"/>
    <w:rsid w:val="00E82606"/>
    <w:rsid w:val="00E846C8"/>
    <w:rsid w:val="00E84957"/>
    <w:rsid w:val="00E84A55"/>
    <w:rsid w:val="00E85BFF"/>
    <w:rsid w:val="00E90391"/>
    <w:rsid w:val="00E906C2"/>
    <w:rsid w:val="00E9311F"/>
    <w:rsid w:val="00E934D1"/>
    <w:rsid w:val="00E94703"/>
    <w:rsid w:val="00E94AF0"/>
    <w:rsid w:val="00E95D13"/>
    <w:rsid w:val="00E95DD3"/>
    <w:rsid w:val="00E969D5"/>
    <w:rsid w:val="00E9749E"/>
    <w:rsid w:val="00EA58D1"/>
    <w:rsid w:val="00EA61BC"/>
    <w:rsid w:val="00EA681A"/>
    <w:rsid w:val="00EA735B"/>
    <w:rsid w:val="00EB1E69"/>
    <w:rsid w:val="00EB2086"/>
    <w:rsid w:val="00EB5EDF"/>
    <w:rsid w:val="00EB60FE"/>
    <w:rsid w:val="00EB74DB"/>
    <w:rsid w:val="00EC5359"/>
    <w:rsid w:val="00EC562A"/>
    <w:rsid w:val="00ED067A"/>
    <w:rsid w:val="00ED2B50"/>
    <w:rsid w:val="00EE0350"/>
    <w:rsid w:val="00EE0719"/>
    <w:rsid w:val="00EE0E80"/>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46BD"/>
    <w:rsid w:val="00F157A9"/>
    <w:rsid w:val="00F16FCF"/>
    <w:rsid w:val="00F25BB6"/>
    <w:rsid w:val="00F262AC"/>
    <w:rsid w:val="00F26B7E"/>
    <w:rsid w:val="00F27A3B"/>
    <w:rsid w:val="00F317E9"/>
    <w:rsid w:val="00F33817"/>
    <w:rsid w:val="00F34BD8"/>
    <w:rsid w:val="00F420D5"/>
    <w:rsid w:val="00F451EA"/>
    <w:rsid w:val="00F45447"/>
    <w:rsid w:val="00F455B0"/>
    <w:rsid w:val="00F456C6"/>
    <w:rsid w:val="00F4577B"/>
    <w:rsid w:val="00F46496"/>
    <w:rsid w:val="00F474D0"/>
    <w:rsid w:val="00F50179"/>
    <w:rsid w:val="00F56511"/>
    <w:rsid w:val="00F6194E"/>
    <w:rsid w:val="00F623AC"/>
    <w:rsid w:val="00F6412A"/>
    <w:rsid w:val="00F65893"/>
    <w:rsid w:val="00F66A4A"/>
    <w:rsid w:val="00F70059"/>
    <w:rsid w:val="00F705A2"/>
    <w:rsid w:val="00F71E22"/>
    <w:rsid w:val="00F72142"/>
    <w:rsid w:val="00F72AE7"/>
    <w:rsid w:val="00F76C03"/>
    <w:rsid w:val="00F84934"/>
    <w:rsid w:val="00F84FD0"/>
    <w:rsid w:val="00F859A8"/>
    <w:rsid w:val="00F9108B"/>
    <w:rsid w:val="00F91349"/>
    <w:rsid w:val="00F93A8A"/>
    <w:rsid w:val="00F95248"/>
    <w:rsid w:val="00F956A9"/>
    <w:rsid w:val="00F963ED"/>
    <w:rsid w:val="00F966CF"/>
    <w:rsid w:val="00F96CAE"/>
    <w:rsid w:val="00F97C99"/>
    <w:rsid w:val="00FA662D"/>
    <w:rsid w:val="00FA73B1"/>
    <w:rsid w:val="00FB0CB9"/>
    <w:rsid w:val="00FB45F1"/>
    <w:rsid w:val="00FB4A72"/>
    <w:rsid w:val="00FB54E8"/>
    <w:rsid w:val="00FB7054"/>
    <w:rsid w:val="00FC17B7"/>
    <w:rsid w:val="00FC2CB7"/>
    <w:rsid w:val="00FC4090"/>
    <w:rsid w:val="00FC4E8A"/>
    <w:rsid w:val="00FC55B4"/>
    <w:rsid w:val="00FD00E6"/>
    <w:rsid w:val="00FD09A1"/>
    <w:rsid w:val="00FD2A7C"/>
    <w:rsid w:val="00FD59EB"/>
    <w:rsid w:val="00FD7299"/>
    <w:rsid w:val="00FD7659"/>
    <w:rsid w:val="00FE1FBE"/>
    <w:rsid w:val="00FE3901"/>
    <w:rsid w:val="00FE4BCE"/>
    <w:rsid w:val="00FE54AE"/>
    <w:rsid w:val="00FE576A"/>
    <w:rsid w:val="00FE61CF"/>
    <w:rsid w:val="00FE7E79"/>
    <w:rsid w:val="00FF3E7D"/>
    <w:rsid w:val="00FF5B99"/>
    <w:rsid w:val="00FF730C"/>
    <w:rsid w:val="00FF73F4"/>
    <w:rsid w:val="00FF7CE4"/>
    <w:rsid w:val="00FF7E39"/>
    <w:rsid w:val="01567AEE"/>
    <w:rsid w:val="01583748"/>
    <w:rsid w:val="039E565E"/>
    <w:rsid w:val="03B06B2E"/>
    <w:rsid w:val="0410030A"/>
    <w:rsid w:val="0430275A"/>
    <w:rsid w:val="04BA64C7"/>
    <w:rsid w:val="04BD03E3"/>
    <w:rsid w:val="05341C7B"/>
    <w:rsid w:val="077D451E"/>
    <w:rsid w:val="07972AF0"/>
    <w:rsid w:val="080F0034"/>
    <w:rsid w:val="093C394F"/>
    <w:rsid w:val="0978425B"/>
    <w:rsid w:val="0A4C5E14"/>
    <w:rsid w:val="0B887381"/>
    <w:rsid w:val="0C13125D"/>
    <w:rsid w:val="0CA923BC"/>
    <w:rsid w:val="0D605969"/>
    <w:rsid w:val="0E5563C5"/>
    <w:rsid w:val="0E993745"/>
    <w:rsid w:val="0F296723"/>
    <w:rsid w:val="0FCD3553"/>
    <w:rsid w:val="1114435D"/>
    <w:rsid w:val="12414CBB"/>
    <w:rsid w:val="12552CB3"/>
    <w:rsid w:val="13086B62"/>
    <w:rsid w:val="14812481"/>
    <w:rsid w:val="14887D8B"/>
    <w:rsid w:val="14A423A8"/>
    <w:rsid w:val="14C8044C"/>
    <w:rsid w:val="150317C5"/>
    <w:rsid w:val="159B7C4F"/>
    <w:rsid w:val="15FF744C"/>
    <w:rsid w:val="167C538B"/>
    <w:rsid w:val="16CA66B8"/>
    <w:rsid w:val="184C6FDF"/>
    <w:rsid w:val="18A1557C"/>
    <w:rsid w:val="19ED4732"/>
    <w:rsid w:val="1ABB8A13"/>
    <w:rsid w:val="1B040045"/>
    <w:rsid w:val="1BB750B7"/>
    <w:rsid w:val="1C057BD0"/>
    <w:rsid w:val="1D2C3A69"/>
    <w:rsid w:val="1E7E1EBC"/>
    <w:rsid w:val="1F0B7BF4"/>
    <w:rsid w:val="214178FD"/>
    <w:rsid w:val="21632F3B"/>
    <w:rsid w:val="223034CD"/>
    <w:rsid w:val="224C47AB"/>
    <w:rsid w:val="22C90314"/>
    <w:rsid w:val="235D3F83"/>
    <w:rsid w:val="248F4E23"/>
    <w:rsid w:val="249064A5"/>
    <w:rsid w:val="24E62D66"/>
    <w:rsid w:val="24F353B2"/>
    <w:rsid w:val="260E4910"/>
    <w:rsid w:val="262477ED"/>
    <w:rsid w:val="26AC22D9"/>
    <w:rsid w:val="26EC030B"/>
    <w:rsid w:val="276C29F2"/>
    <w:rsid w:val="27BF3329"/>
    <w:rsid w:val="298C7B83"/>
    <w:rsid w:val="29A66C9A"/>
    <w:rsid w:val="29DD03DE"/>
    <w:rsid w:val="2B8723B0"/>
    <w:rsid w:val="2C632C1D"/>
    <w:rsid w:val="2D802657"/>
    <w:rsid w:val="2DBE739B"/>
    <w:rsid w:val="2E6F5B59"/>
    <w:rsid w:val="2E8E7EF9"/>
    <w:rsid w:val="2EA94D33"/>
    <w:rsid w:val="302A0121"/>
    <w:rsid w:val="302D1750"/>
    <w:rsid w:val="31D9592F"/>
    <w:rsid w:val="320E0400"/>
    <w:rsid w:val="32E4292C"/>
    <w:rsid w:val="331B52DE"/>
    <w:rsid w:val="3417273F"/>
    <w:rsid w:val="34D32B0A"/>
    <w:rsid w:val="34FD36E3"/>
    <w:rsid w:val="35847960"/>
    <w:rsid w:val="35A1EFF0"/>
    <w:rsid w:val="35AB6B1B"/>
    <w:rsid w:val="363D4328"/>
    <w:rsid w:val="36603F29"/>
    <w:rsid w:val="366073AA"/>
    <w:rsid w:val="36D36DF1"/>
    <w:rsid w:val="376B4DF5"/>
    <w:rsid w:val="38455ACD"/>
    <w:rsid w:val="3A2F0D05"/>
    <w:rsid w:val="3B4E6A46"/>
    <w:rsid w:val="3B7BF431"/>
    <w:rsid w:val="3D9F8799"/>
    <w:rsid w:val="3DFE308E"/>
    <w:rsid w:val="3E473AAB"/>
    <w:rsid w:val="3FE60E0E"/>
    <w:rsid w:val="3FEE9ADB"/>
    <w:rsid w:val="40194B77"/>
    <w:rsid w:val="40714F85"/>
    <w:rsid w:val="408B24EB"/>
    <w:rsid w:val="40A50896"/>
    <w:rsid w:val="4326791B"/>
    <w:rsid w:val="440C3942"/>
    <w:rsid w:val="442962A2"/>
    <w:rsid w:val="44F93EC7"/>
    <w:rsid w:val="45EB02B3"/>
    <w:rsid w:val="467A1037"/>
    <w:rsid w:val="4721615A"/>
    <w:rsid w:val="47A82F35"/>
    <w:rsid w:val="47D77DC3"/>
    <w:rsid w:val="47FC15DC"/>
    <w:rsid w:val="482F19AD"/>
    <w:rsid w:val="48345A4E"/>
    <w:rsid w:val="48AC04F5"/>
    <w:rsid w:val="49357497"/>
    <w:rsid w:val="4ACE54AE"/>
    <w:rsid w:val="4B423A7D"/>
    <w:rsid w:val="4B5300A9"/>
    <w:rsid w:val="4C5E1FA2"/>
    <w:rsid w:val="4C804ECE"/>
    <w:rsid w:val="4E375A60"/>
    <w:rsid w:val="4F946F0C"/>
    <w:rsid w:val="4FC24FDC"/>
    <w:rsid w:val="504D156B"/>
    <w:rsid w:val="5060129E"/>
    <w:rsid w:val="5167665C"/>
    <w:rsid w:val="52C35B14"/>
    <w:rsid w:val="531C2067"/>
    <w:rsid w:val="54156B0E"/>
    <w:rsid w:val="545A4256"/>
    <w:rsid w:val="554F205D"/>
    <w:rsid w:val="57C22A3C"/>
    <w:rsid w:val="595A648F"/>
    <w:rsid w:val="5A3450CA"/>
    <w:rsid w:val="5AC93EE4"/>
    <w:rsid w:val="5B433C96"/>
    <w:rsid w:val="5BB66216"/>
    <w:rsid w:val="5BF314BF"/>
    <w:rsid w:val="5BF3746A"/>
    <w:rsid w:val="5E8E347A"/>
    <w:rsid w:val="5EF37781"/>
    <w:rsid w:val="609805E0"/>
    <w:rsid w:val="60C413D5"/>
    <w:rsid w:val="60CC028A"/>
    <w:rsid w:val="60DE061A"/>
    <w:rsid w:val="612714F6"/>
    <w:rsid w:val="615A3AE7"/>
    <w:rsid w:val="61B256D1"/>
    <w:rsid w:val="61EE5FDE"/>
    <w:rsid w:val="624502F4"/>
    <w:rsid w:val="629A6657"/>
    <w:rsid w:val="62A26A91"/>
    <w:rsid w:val="638F5507"/>
    <w:rsid w:val="63930ECB"/>
    <w:rsid w:val="64836EB1"/>
    <w:rsid w:val="6488096B"/>
    <w:rsid w:val="64BC0159"/>
    <w:rsid w:val="651144BD"/>
    <w:rsid w:val="65F362B8"/>
    <w:rsid w:val="67E4235D"/>
    <w:rsid w:val="68EF7327"/>
    <w:rsid w:val="68F42334"/>
    <w:rsid w:val="6A386990"/>
    <w:rsid w:val="6B911102"/>
    <w:rsid w:val="6C220424"/>
    <w:rsid w:val="6D365409"/>
    <w:rsid w:val="6D72430E"/>
    <w:rsid w:val="6DEC68F4"/>
    <w:rsid w:val="6EC93790"/>
    <w:rsid w:val="6F5B49BC"/>
    <w:rsid w:val="6FE17E8F"/>
    <w:rsid w:val="6FFB1194"/>
    <w:rsid w:val="70627B0B"/>
    <w:rsid w:val="71467BE4"/>
    <w:rsid w:val="719170B1"/>
    <w:rsid w:val="71C01EFF"/>
    <w:rsid w:val="72734A09"/>
    <w:rsid w:val="73155AC0"/>
    <w:rsid w:val="746E685C"/>
    <w:rsid w:val="74EC0AA3"/>
    <w:rsid w:val="754363B2"/>
    <w:rsid w:val="755B547D"/>
    <w:rsid w:val="75A70B91"/>
    <w:rsid w:val="7631773A"/>
    <w:rsid w:val="76FF2616"/>
    <w:rsid w:val="78A82F32"/>
    <w:rsid w:val="793F1E70"/>
    <w:rsid w:val="79FF918D"/>
    <w:rsid w:val="7A3E0F2D"/>
    <w:rsid w:val="7A7A510C"/>
    <w:rsid w:val="7ABB519F"/>
    <w:rsid w:val="7B915F00"/>
    <w:rsid w:val="7BBE39ED"/>
    <w:rsid w:val="7BCE0F02"/>
    <w:rsid w:val="7BE4072C"/>
    <w:rsid w:val="7C865339"/>
    <w:rsid w:val="7CA103C5"/>
    <w:rsid w:val="7CBE4AD3"/>
    <w:rsid w:val="7D292894"/>
    <w:rsid w:val="7DBDBA74"/>
    <w:rsid w:val="7E4B2CBA"/>
    <w:rsid w:val="7F0013D2"/>
    <w:rsid w:val="7F1A06E3"/>
    <w:rsid w:val="7F69341C"/>
    <w:rsid w:val="7FAA57E2"/>
    <w:rsid w:val="7FD913B0"/>
    <w:rsid w:val="7FDC2FE3"/>
    <w:rsid w:val="7FEF50F9"/>
    <w:rsid w:val="DFFD92F7"/>
    <w:rsid w:val="EF8BCF6B"/>
    <w:rsid w:val="F1DB6C3E"/>
    <w:rsid w:val="F3EFB404"/>
    <w:rsid w:val="F8EBC3AF"/>
    <w:rsid w:val="F9D6934C"/>
    <w:rsid w:val="FAF75289"/>
    <w:rsid w:val="FB7299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0" w:name="toc 8"/>
    <w:lsdException w:uiPriority="0" w:name="toc 9"/>
    <w:lsdException w:qFormat="1" w:unhideWhenUsed="0" w:uiPriority="0" w:semiHidden="0" w:name="Normal Indent"/>
    <w:lsdException w:qFormat="1" w:unhideWhenUsed="0" w:uiPriority="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nhideWhenUsed="0" w:uiPriority="0" w:name="table of figures"/>
    <w:lsdException w:uiPriority="99" w:name="envelope address"/>
    <w:lsdException w:uiPriority="99" w:name="envelope return"/>
    <w:lsdException w:qFormat="1" w:unhideWhenUsed="0" w:uiPriority="0"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40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5"/>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36"/>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7"/>
    <w:qFormat/>
    <w:uiPriority w:val="0"/>
    <w:pPr>
      <w:keepNext/>
      <w:keepLines/>
      <w:spacing w:before="260" w:after="260" w:line="416" w:lineRule="auto"/>
      <w:outlineLvl w:val="2"/>
    </w:pPr>
    <w:rPr>
      <w:b/>
      <w:bCs/>
      <w:sz w:val="32"/>
      <w:szCs w:val="32"/>
    </w:rPr>
  </w:style>
  <w:style w:type="paragraph" w:styleId="5">
    <w:name w:val="heading 4"/>
    <w:basedOn w:val="1"/>
    <w:next w:val="1"/>
    <w:link w:val="38"/>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39"/>
    <w:qFormat/>
    <w:uiPriority w:val="0"/>
    <w:pPr>
      <w:keepNext/>
      <w:keepLines/>
      <w:adjustRightInd/>
      <w:spacing w:before="280" w:after="290" w:line="376" w:lineRule="auto"/>
      <w:outlineLvl w:val="4"/>
    </w:pPr>
    <w:rPr>
      <w:b/>
      <w:bCs/>
      <w:sz w:val="28"/>
      <w:szCs w:val="28"/>
    </w:rPr>
  </w:style>
  <w:style w:type="paragraph" w:styleId="7">
    <w:name w:val="heading 6"/>
    <w:basedOn w:val="1"/>
    <w:next w:val="1"/>
    <w:link w:val="40"/>
    <w:qFormat/>
    <w:uiPriority w:val="0"/>
    <w:pPr>
      <w:keepNext/>
      <w:keepLines/>
      <w:adjustRightInd/>
      <w:spacing w:before="240" w:after="64" w:line="320" w:lineRule="auto"/>
      <w:outlineLvl w:val="5"/>
    </w:pPr>
    <w:rPr>
      <w:rFonts w:ascii="Arial" w:hAnsi="Arial" w:eastAsia="黑体"/>
      <w:b/>
      <w:bCs/>
      <w:sz w:val="24"/>
      <w:szCs w:val="24"/>
    </w:rPr>
  </w:style>
  <w:style w:type="paragraph" w:styleId="8">
    <w:name w:val="heading 7"/>
    <w:basedOn w:val="1"/>
    <w:next w:val="1"/>
    <w:link w:val="41"/>
    <w:qFormat/>
    <w:uiPriority w:val="0"/>
    <w:pPr>
      <w:keepNext/>
      <w:keepLines/>
      <w:adjustRightInd/>
      <w:spacing w:before="240" w:after="64" w:line="320" w:lineRule="auto"/>
      <w:outlineLvl w:val="6"/>
    </w:pPr>
    <w:rPr>
      <w:b/>
      <w:bCs/>
      <w:sz w:val="24"/>
      <w:szCs w:val="24"/>
    </w:rPr>
  </w:style>
  <w:style w:type="paragraph" w:styleId="9">
    <w:name w:val="heading 8"/>
    <w:basedOn w:val="1"/>
    <w:next w:val="1"/>
    <w:link w:val="42"/>
    <w:qFormat/>
    <w:uiPriority w:val="0"/>
    <w:pPr>
      <w:keepNext/>
      <w:keepLines/>
      <w:adjustRightInd/>
      <w:spacing w:before="240" w:after="64" w:line="320" w:lineRule="auto"/>
      <w:outlineLvl w:val="7"/>
    </w:pPr>
    <w:rPr>
      <w:rFonts w:ascii="Arial" w:hAnsi="Arial" w:eastAsia="黑体"/>
      <w:sz w:val="24"/>
      <w:szCs w:val="24"/>
    </w:rPr>
  </w:style>
  <w:style w:type="paragraph" w:styleId="10">
    <w:name w:val="heading 9"/>
    <w:basedOn w:val="1"/>
    <w:next w:val="1"/>
    <w:link w:val="43"/>
    <w:qFormat/>
    <w:uiPriority w:val="0"/>
    <w:pPr>
      <w:keepNext/>
      <w:keepLines/>
      <w:adjustRightInd/>
      <w:spacing w:before="240" w:after="64" w:line="320" w:lineRule="auto"/>
      <w:outlineLvl w:val="8"/>
    </w:pPr>
    <w:rPr>
      <w:rFonts w:ascii="Arial" w:hAnsi="Arial" w:eastAsia="黑体"/>
    </w:rPr>
  </w:style>
  <w:style w:type="character" w:default="1" w:styleId="29">
    <w:name w:val="Default Paragraph Font"/>
    <w:semiHidden/>
    <w:unhideWhenUsed/>
    <w:qFormat/>
    <w:uiPriority w:val="1"/>
  </w:style>
  <w:style w:type="table" w:default="1" w:styleId="27">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tabs>
        <w:tab w:val="right" w:leader="dot" w:pos="9344"/>
      </w:tabs>
      <w:spacing w:line="300" w:lineRule="exact"/>
      <w:ind w:left="1259"/>
    </w:pPr>
    <w:rPr>
      <w:rFonts w:ascii="宋体"/>
    </w:rPr>
  </w:style>
  <w:style w:type="paragraph" w:styleId="12">
    <w:name w:val="List Number"/>
    <w:basedOn w:val="1"/>
    <w:semiHidden/>
    <w:unhideWhenUsed/>
    <w:qFormat/>
    <w:uiPriority w:val="99"/>
    <w:pPr>
      <w:numPr>
        <w:ilvl w:val="0"/>
        <w:numId w:val="1"/>
      </w:numPr>
    </w:pPr>
  </w:style>
  <w:style w:type="paragraph" w:styleId="13">
    <w:name w:val="Normal Indent"/>
    <w:basedOn w:val="1"/>
    <w:qFormat/>
    <w:uiPriority w:val="0"/>
    <w:pPr>
      <w:ind w:firstLine="420"/>
    </w:pPr>
  </w:style>
  <w:style w:type="paragraph" w:styleId="14">
    <w:name w:val="Body Text"/>
    <w:basedOn w:val="1"/>
    <w:link w:val="44"/>
    <w:qFormat/>
    <w:uiPriority w:val="0"/>
    <w:pPr>
      <w:spacing w:after="120"/>
    </w:pPr>
  </w:style>
  <w:style w:type="paragraph" w:styleId="15">
    <w:name w:val="toc 5"/>
    <w:basedOn w:val="1"/>
    <w:next w:val="1"/>
    <w:unhideWhenUsed/>
    <w:qFormat/>
    <w:uiPriority w:val="39"/>
    <w:pPr>
      <w:ind w:left="839"/>
    </w:pPr>
    <w:rPr>
      <w:rFonts w:ascii="宋体"/>
    </w:rPr>
  </w:style>
  <w:style w:type="paragraph" w:styleId="16">
    <w:name w:val="toc 3"/>
    <w:basedOn w:val="1"/>
    <w:next w:val="1"/>
    <w:unhideWhenUsed/>
    <w:qFormat/>
    <w:uiPriority w:val="39"/>
    <w:pPr>
      <w:spacing w:line="300" w:lineRule="exact"/>
      <w:ind w:left="420"/>
    </w:pPr>
    <w:rPr>
      <w:rFonts w:ascii="宋体"/>
    </w:rPr>
  </w:style>
  <w:style w:type="paragraph" w:styleId="17">
    <w:name w:val="Balloon Text"/>
    <w:basedOn w:val="1"/>
    <w:link w:val="45"/>
    <w:unhideWhenUsed/>
    <w:qFormat/>
    <w:uiPriority w:val="99"/>
    <w:rPr>
      <w:sz w:val="18"/>
      <w:szCs w:val="18"/>
    </w:rPr>
  </w:style>
  <w:style w:type="paragraph" w:styleId="18">
    <w:name w:val="footer"/>
    <w:basedOn w:val="1"/>
    <w:link w:val="46"/>
    <w:qFormat/>
    <w:uiPriority w:val="99"/>
    <w:pPr>
      <w:tabs>
        <w:tab w:val="center" w:pos="4153"/>
        <w:tab w:val="right" w:pos="8306"/>
      </w:tabs>
      <w:adjustRightInd/>
      <w:snapToGrid w:val="0"/>
      <w:spacing w:line="240" w:lineRule="auto"/>
      <w:jc w:val="right"/>
    </w:pPr>
    <w:rPr>
      <w:rFonts w:ascii="宋体"/>
      <w:sz w:val="18"/>
      <w:szCs w:val="18"/>
    </w:rPr>
  </w:style>
  <w:style w:type="paragraph" w:styleId="19">
    <w:name w:val="header"/>
    <w:basedOn w:val="1"/>
    <w:link w:val="47"/>
    <w:qFormat/>
    <w:uiPriority w:val="99"/>
    <w:pPr>
      <w:tabs>
        <w:tab w:val="center" w:pos="4153"/>
        <w:tab w:val="right" w:pos="8306"/>
      </w:tabs>
      <w:adjustRightInd/>
      <w:snapToGrid w:val="0"/>
      <w:jc w:val="center"/>
    </w:pPr>
    <w:rPr>
      <w:sz w:val="18"/>
      <w:szCs w:val="18"/>
    </w:rPr>
  </w:style>
  <w:style w:type="paragraph" w:styleId="20">
    <w:name w:val="toc 1"/>
    <w:basedOn w:val="1"/>
    <w:next w:val="1"/>
    <w:unhideWhenUsed/>
    <w:qFormat/>
    <w:uiPriority w:val="39"/>
    <w:rPr>
      <w:rFonts w:ascii="宋体"/>
    </w:rPr>
  </w:style>
  <w:style w:type="paragraph" w:styleId="21">
    <w:name w:val="toc 4"/>
    <w:basedOn w:val="1"/>
    <w:next w:val="1"/>
    <w:unhideWhenUsed/>
    <w:qFormat/>
    <w:uiPriority w:val="39"/>
    <w:pPr>
      <w:tabs>
        <w:tab w:val="right" w:leader="dot" w:pos="9344"/>
      </w:tabs>
      <w:spacing w:line="300" w:lineRule="exact"/>
      <w:ind w:left="629"/>
    </w:pPr>
    <w:rPr>
      <w:rFonts w:ascii="宋体"/>
    </w:rPr>
  </w:style>
  <w:style w:type="paragraph" w:styleId="22">
    <w:name w:val="footnote text"/>
    <w:basedOn w:val="1"/>
    <w:next w:val="1"/>
    <w:link w:val="48"/>
    <w:semiHidden/>
    <w:qFormat/>
    <w:uiPriority w:val="0"/>
    <w:pPr>
      <w:adjustRightInd/>
      <w:snapToGrid w:val="0"/>
      <w:spacing w:line="300" w:lineRule="exact"/>
      <w:ind w:left="400" w:leftChars="200" w:hanging="200" w:hangingChars="200"/>
      <w:jc w:val="left"/>
    </w:pPr>
    <w:rPr>
      <w:rFonts w:ascii="宋体"/>
      <w:sz w:val="18"/>
      <w:szCs w:val="18"/>
    </w:rPr>
  </w:style>
  <w:style w:type="paragraph" w:styleId="23">
    <w:name w:val="toc 6"/>
    <w:basedOn w:val="1"/>
    <w:next w:val="1"/>
    <w:unhideWhenUsed/>
    <w:qFormat/>
    <w:uiPriority w:val="39"/>
    <w:pPr>
      <w:spacing w:line="300" w:lineRule="exact"/>
      <w:ind w:left="1049"/>
    </w:pPr>
    <w:rPr>
      <w:rFonts w:ascii="宋体"/>
    </w:rPr>
  </w:style>
  <w:style w:type="paragraph" w:styleId="24">
    <w:name w:val="table of figures"/>
    <w:basedOn w:val="1"/>
    <w:next w:val="1"/>
    <w:semiHidden/>
    <w:qFormat/>
    <w:uiPriority w:val="0"/>
    <w:pPr>
      <w:adjustRightInd/>
      <w:spacing w:line="240" w:lineRule="auto"/>
      <w:jc w:val="left"/>
    </w:pPr>
    <w:rPr>
      <w:szCs w:val="24"/>
    </w:rPr>
  </w:style>
  <w:style w:type="paragraph" w:styleId="25">
    <w:name w:val="toc 2"/>
    <w:basedOn w:val="1"/>
    <w:next w:val="1"/>
    <w:unhideWhenUsed/>
    <w:qFormat/>
    <w:uiPriority w:val="39"/>
    <w:pPr>
      <w:tabs>
        <w:tab w:val="right" w:leader="dot" w:pos="9344"/>
      </w:tabs>
      <w:spacing w:line="300" w:lineRule="exact"/>
      <w:ind w:left="210"/>
    </w:pPr>
    <w:rPr>
      <w:rFonts w:ascii="宋体"/>
    </w:rPr>
  </w:style>
  <w:style w:type="paragraph" w:styleId="26">
    <w:name w:val="Title"/>
    <w:basedOn w:val="1"/>
    <w:link w:val="49"/>
    <w:qFormat/>
    <w:uiPriority w:val="0"/>
    <w:pPr>
      <w:spacing w:before="240" w:after="60"/>
      <w:jc w:val="center"/>
      <w:outlineLvl w:val="0"/>
    </w:pPr>
    <w:rPr>
      <w:rFonts w:ascii="Arial" w:hAnsi="Arial" w:cs="Arial"/>
      <w:b/>
      <w:bCs/>
      <w:sz w:val="32"/>
      <w:szCs w:val="32"/>
    </w:rPr>
  </w:style>
  <w:style w:type="table" w:styleId="28">
    <w:name w:val="Table Grid"/>
    <w:basedOn w:val="2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qFormat/>
    <w:uiPriority w:val="22"/>
    <w:rPr>
      <w:b/>
      <w:bCs/>
    </w:rPr>
  </w:style>
  <w:style w:type="character" w:styleId="31">
    <w:name w:val="page number"/>
    <w:qFormat/>
    <w:uiPriority w:val="0"/>
    <w:rPr>
      <w:rFonts w:ascii="宋体" w:hAnsi="Times New Roman" w:eastAsia="宋体"/>
      <w:sz w:val="18"/>
    </w:rPr>
  </w:style>
  <w:style w:type="character" w:styleId="32">
    <w:name w:val="Emphasis"/>
    <w:qFormat/>
    <w:uiPriority w:val="20"/>
    <w:rPr>
      <w:i/>
      <w:iCs/>
    </w:rPr>
  </w:style>
  <w:style w:type="character" w:styleId="33">
    <w:name w:val="Hyperlink"/>
    <w:qFormat/>
    <w:uiPriority w:val="99"/>
    <w:rPr>
      <w:rFonts w:ascii="宋体" w:hAnsi="Times New Roman" w:eastAsia="宋体"/>
      <w:color w:val="auto"/>
      <w:spacing w:val="0"/>
      <w:w w:val="100"/>
      <w:position w:val="0"/>
      <w:sz w:val="21"/>
      <w:u w:val="none"/>
      <w:vertAlign w:val="baseline"/>
    </w:rPr>
  </w:style>
  <w:style w:type="character" w:styleId="34">
    <w:name w:val="footnote reference"/>
    <w:semiHidden/>
    <w:qFormat/>
    <w:uiPriority w:val="0"/>
    <w:rPr>
      <w:rFonts w:ascii="宋体" w:hAnsi="宋体" w:eastAsia="宋体" w:cs="Times New Roman"/>
      <w:spacing w:val="0"/>
      <w:sz w:val="15"/>
      <w:vertAlign w:val="superscript"/>
    </w:rPr>
  </w:style>
  <w:style w:type="character" w:customStyle="1" w:styleId="35">
    <w:name w:val="标题 1 字符"/>
    <w:link w:val="2"/>
    <w:qFormat/>
    <w:uiPriority w:val="0"/>
    <w:rPr>
      <w:rFonts w:ascii="Times New Roman" w:hAnsi="Times New Roman" w:eastAsia="宋体" w:cs="Times New Roman"/>
      <w:b/>
      <w:bCs/>
      <w:kern w:val="44"/>
      <w:sz w:val="44"/>
      <w:szCs w:val="44"/>
    </w:rPr>
  </w:style>
  <w:style w:type="character" w:customStyle="1" w:styleId="36">
    <w:name w:val="标题 2 字符"/>
    <w:link w:val="3"/>
    <w:qFormat/>
    <w:uiPriority w:val="0"/>
    <w:rPr>
      <w:rFonts w:ascii="Arial" w:hAnsi="Arial" w:eastAsia="黑体" w:cs="Times New Roman"/>
      <w:b/>
      <w:bCs/>
      <w:sz w:val="32"/>
      <w:szCs w:val="32"/>
    </w:rPr>
  </w:style>
  <w:style w:type="character" w:customStyle="1" w:styleId="37">
    <w:name w:val="标题 3 字符"/>
    <w:link w:val="4"/>
    <w:qFormat/>
    <w:uiPriority w:val="0"/>
    <w:rPr>
      <w:rFonts w:ascii="Times New Roman" w:hAnsi="Times New Roman" w:eastAsia="宋体" w:cs="Times New Roman"/>
      <w:b/>
      <w:bCs/>
      <w:sz w:val="32"/>
      <w:szCs w:val="32"/>
    </w:rPr>
  </w:style>
  <w:style w:type="character" w:customStyle="1" w:styleId="38">
    <w:name w:val="标题 4 字符"/>
    <w:link w:val="5"/>
    <w:qFormat/>
    <w:uiPriority w:val="0"/>
    <w:rPr>
      <w:rFonts w:ascii="Arial" w:hAnsi="Arial" w:eastAsia="黑体" w:cs="Times New Roman"/>
      <w:b/>
      <w:bCs/>
      <w:sz w:val="28"/>
      <w:szCs w:val="28"/>
    </w:rPr>
  </w:style>
  <w:style w:type="character" w:customStyle="1" w:styleId="39">
    <w:name w:val="标题 5 字符"/>
    <w:link w:val="6"/>
    <w:qFormat/>
    <w:uiPriority w:val="0"/>
    <w:rPr>
      <w:rFonts w:ascii="Times New Roman" w:hAnsi="Times New Roman" w:eastAsia="宋体" w:cs="Times New Roman"/>
      <w:b/>
      <w:bCs/>
      <w:sz w:val="28"/>
      <w:szCs w:val="28"/>
    </w:rPr>
  </w:style>
  <w:style w:type="character" w:customStyle="1" w:styleId="40">
    <w:name w:val="标题 6 字符"/>
    <w:link w:val="7"/>
    <w:qFormat/>
    <w:uiPriority w:val="0"/>
    <w:rPr>
      <w:rFonts w:ascii="Arial" w:hAnsi="Arial" w:eastAsia="黑体" w:cs="Times New Roman"/>
      <w:b/>
      <w:bCs/>
      <w:sz w:val="24"/>
      <w:szCs w:val="24"/>
    </w:rPr>
  </w:style>
  <w:style w:type="character" w:customStyle="1" w:styleId="41">
    <w:name w:val="标题 7 字符"/>
    <w:link w:val="8"/>
    <w:qFormat/>
    <w:uiPriority w:val="0"/>
    <w:rPr>
      <w:rFonts w:ascii="Times New Roman" w:hAnsi="Times New Roman" w:eastAsia="宋体" w:cs="Times New Roman"/>
      <w:b/>
      <w:bCs/>
      <w:sz w:val="24"/>
      <w:szCs w:val="24"/>
    </w:rPr>
  </w:style>
  <w:style w:type="character" w:customStyle="1" w:styleId="42">
    <w:name w:val="标题 8 字符"/>
    <w:link w:val="9"/>
    <w:qFormat/>
    <w:uiPriority w:val="0"/>
    <w:rPr>
      <w:rFonts w:ascii="Arial" w:hAnsi="Arial" w:eastAsia="黑体" w:cs="Times New Roman"/>
      <w:sz w:val="24"/>
      <w:szCs w:val="24"/>
    </w:rPr>
  </w:style>
  <w:style w:type="character" w:customStyle="1" w:styleId="43">
    <w:name w:val="标题 9 字符"/>
    <w:link w:val="10"/>
    <w:qFormat/>
    <w:uiPriority w:val="0"/>
    <w:rPr>
      <w:rFonts w:ascii="Arial" w:hAnsi="Arial" w:eastAsia="黑体" w:cs="Times New Roman"/>
      <w:szCs w:val="21"/>
    </w:rPr>
  </w:style>
  <w:style w:type="character" w:customStyle="1" w:styleId="44">
    <w:name w:val="正文文本 字符"/>
    <w:link w:val="14"/>
    <w:qFormat/>
    <w:uiPriority w:val="0"/>
    <w:rPr>
      <w:rFonts w:ascii="Times New Roman" w:hAnsi="Times New Roman" w:eastAsia="宋体" w:cs="Times New Roman"/>
      <w:szCs w:val="20"/>
    </w:rPr>
  </w:style>
  <w:style w:type="character" w:customStyle="1" w:styleId="45">
    <w:name w:val="批注框文本 字符"/>
    <w:link w:val="17"/>
    <w:semiHidden/>
    <w:qFormat/>
    <w:uiPriority w:val="99"/>
    <w:rPr>
      <w:sz w:val="18"/>
      <w:szCs w:val="18"/>
    </w:rPr>
  </w:style>
  <w:style w:type="character" w:customStyle="1" w:styleId="46">
    <w:name w:val="页脚 字符"/>
    <w:link w:val="18"/>
    <w:qFormat/>
    <w:uiPriority w:val="99"/>
    <w:rPr>
      <w:rFonts w:ascii="宋体" w:hAnsi="Times New Roman" w:eastAsia="宋体" w:cs="Times New Roman"/>
      <w:sz w:val="18"/>
      <w:szCs w:val="18"/>
    </w:rPr>
  </w:style>
  <w:style w:type="character" w:customStyle="1" w:styleId="47">
    <w:name w:val="页眉 字符"/>
    <w:link w:val="19"/>
    <w:qFormat/>
    <w:uiPriority w:val="99"/>
    <w:rPr>
      <w:rFonts w:ascii="Times New Roman" w:hAnsi="Times New Roman" w:eastAsia="宋体" w:cs="Times New Roman"/>
      <w:sz w:val="18"/>
      <w:szCs w:val="18"/>
    </w:rPr>
  </w:style>
  <w:style w:type="character" w:customStyle="1" w:styleId="48">
    <w:name w:val="脚注文本 字符"/>
    <w:link w:val="22"/>
    <w:semiHidden/>
    <w:qFormat/>
    <w:uiPriority w:val="0"/>
    <w:rPr>
      <w:rFonts w:ascii="宋体" w:hAnsi="Times New Roman" w:eastAsia="宋体" w:cs="Times New Roman"/>
      <w:sz w:val="18"/>
      <w:szCs w:val="18"/>
    </w:rPr>
  </w:style>
  <w:style w:type="character" w:customStyle="1" w:styleId="49">
    <w:name w:val="标题 字符"/>
    <w:link w:val="26"/>
    <w:qFormat/>
    <w:uiPriority w:val="0"/>
    <w:rPr>
      <w:rFonts w:ascii="Arial" w:hAnsi="Arial" w:eastAsia="宋体" w:cs="Arial"/>
      <w:b/>
      <w:bCs/>
      <w:sz w:val="32"/>
      <w:szCs w:val="32"/>
    </w:rPr>
  </w:style>
  <w:style w:type="character" w:customStyle="1" w:styleId="50">
    <w:name w:val="不明显参考1"/>
    <w:qFormat/>
    <w:uiPriority w:val="31"/>
    <w:rPr>
      <w:smallCaps/>
      <w:color w:val="C0504D"/>
      <w:u w:val="single"/>
    </w:rPr>
  </w:style>
  <w:style w:type="character" w:customStyle="1" w:styleId="51">
    <w:name w:val="引用 字符"/>
    <w:link w:val="52"/>
    <w:qFormat/>
    <w:uiPriority w:val="29"/>
    <w:rPr>
      <w:i/>
      <w:iCs/>
      <w:color w:val="000000"/>
    </w:rPr>
  </w:style>
  <w:style w:type="paragraph" w:styleId="52">
    <w:name w:val="Quote"/>
    <w:basedOn w:val="1"/>
    <w:next w:val="1"/>
    <w:link w:val="51"/>
    <w:qFormat/>
    <w:uiPriority w:val="29"/>
    <w:rPr>
      <w:i/>
      <w:iCs/>
      <w:color w:val="000000"/>
    </w:rPr>
  </w:style>
  <w:style w:type="character" w:customStyle="1" w:styleId="53">
    <w:name w:val="标准文件_示例X后 字符"/>
    <w:basedOn w:val="54"/>
    <w:link w:val="56"/>
    <w:qFormat/>
    <w:uiPriority w:val="0"/>
    <w:rPr>
      <w:rFonts w:ascii="宋体" w:hAnsi="Times New Roman"/>
      <w:sz w:val="18"/>
    </w:rPr>
  </w:style>
  <w:style w:type="character" w:customStyle="1" w:styleId="54">
    <w:name w:val="标准文件_段 Char"/>
    <w:link w:val="55"/>
    <w:qFormat/>
    <w:uiPriority w:val="0"/>
    <w:rPr>
      <w:rFonts w:ascii="宋体" w:hAnsi="Times New Roman"/>
      <w:sz w:val="21"/>
    </w:rPr>
  </w:style>
  <w:style w:type="paragraph" w:customStyle="1" w:styleId="55">
    <w:name w:val="标准文件_段"/>
    <w:link w:val="54"/>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56">
    <w:name w:val="标准文件_示例X后"/>
    <w:basedOn w:val="55"/>
    <w:link w:val="53"/>
    <w:qFormat/>
    <w:uiPriority w:val="0"/>
    <w:pPr>
      <w:ind w:left="1049" w:firstLine="0" w:firstLineChars="0"/>
    </w:pPr>
    <w:rPr>
      <w:sz w:val="18"/>
    </w:rPr>
  </w:style>
  <w:style w:type="character" w:styleId="57">
    <w:name w:val="Placeholder Text"/>
    <w:basedOn w:val="29"/>
    <w:semiHidden/>
    <w:qFormat/>
    <w:uiPriority w:val="99"/>
    <w:rPr>
      <w:color w:val="808080"/>
    </w:rPr>
  </w:style>
  <w:style w:type="character" w:customStyle="1" w:styleId="58">
    <w:name w:val="标准文件_发布"/>
    <w:qFormat/>
    <w:uiPriority w:val="0"/>
    <w:rPr>
      <w:rFonts w:ascii="黑体" w:eastAsia="黑体"/>
      <w:spacing w:val="0"/>
      <w:w w:val="100"/>
      <w:position w:val="3"/>
      <w:sz w:val="28"/>
    </w:rPr>
  </w:style>
  <w:style w:type="character" w:customStyle="1" w:styleId="59">
    <w:name w:val="个人答复风格"/>
    <w:qFormat/>
    <w:uiPriority w:val="0"/>
    <w:rPr>
      <w:rFonts w:ascii="Arial" w:hAnsi="Arial" w:eastAsia="宋体" w:cs="Arial"/>
      <w:color w:val="auto"/>
      <w:spacing w:val="0"/>
      <w:sz w:val="20"/>
    </w:rPr>
  </w:style>
  <w:style w:type="character" w:customStyle="1" w:styleId="60">
    <w:name w:val="标准文件_图表脚注内容"/>
    <w:qFormat/>
    <w:uiPriority w:val="0"/>
    <w:rPr>
      <w:rFonts w:ascii="宋体" w:hAnsi="宋体" w:eastAsia="宋体" w:cs="Times New Roman"/>
      <w:spacing w:val="0"/>
      <w:sz w:val="18"/>
      <w:vertAlign w:val="superscript"/>
    </w:rPr>
  </w:style>
  <w:style w:type="character" w:customStyle="1" w:styleId="61">
    <w:name w:val="个人撰写风格"/>
    <w:qFormat/>
    <w:uiPriority w:val="0"/>
    <w:rPr>
      <w:rFonts w:ascii="Arial" w:hAnsi="Arial" w:eastAsia="宋体" w:cs="Arial"/>
      <w:color w:val="auto"/>
      <w:spacing w:val="0"/>
      <w:sz w:val="20"/>
    </w:rPr>
  </w:style>
  <w:style w:type="character" w:customStyle="1" w:styleId="62">
    <w:name w:val="标准文件_来源"/>
    <w:basedOn w:val="29"/>
    <w:qFormat/>
    <w:uiPriority w:val="1"/>
    <w:rPr>
      <w:rFonts w:eastAsia="宋体"/>
      <w:sz w:val="21"/>
    </w:rPr>
  </w:style>
  <w:style w:type="paragraph" w:customStyle="1" w:styleId="63">
    <w:name w:val="标准文件_注X后"/>
    <w:basedOn w:val="55"/>
    <w:qFormat/>
    <w:uiPriority w:val="0"/>
    <w:pPr>
      <w:ind w:left="811" w:firstLine="0" w:firstLineChars="0"/>
    </w:pPr>
    <w:rPr>
      <w:sz w:val="18"/>
    </w:rPr>
  </w:style>
  <w:style w:type="paragraph" w:customStyle="1" w:styleId="64">
    <w:name w:val="附录图"/>
    <w:next w:val="55"/>
    <w:qFormat/>
    <w:uiPriority w:val="0"/>
    <w:pPr>
      <w:wordWrap w:val="0"/>
      <w:overflowPunct w:val="0"/>
      <w:autoSpaceDE w:val="0"/>
      <w:spacing w:before="50" w:beforeLines="50" w:after="50" w:afterLines="50"/>
      <w:jc w:val="center"/>
      <w:textAlignment w:val="baseline"/>
      <w:outlineLvl w:val="1"/>
    </w:pPr>
    <w:rPr>
      <w:rFonts w:ascii="黑体" w:hAnsi="Times New Roman" w:eastAsia="黑体" w:cs="Times New Roman"/>
      <w:kern w:val="21"/>
      <w:sz w:val="21"/>
      <w:lang w:val="en-US" w:eastAsia="zh-CN" w:bidi="ar-SA"/>
    </w:rPr>
  </w:style>
  <w:style w:type="paragraph" w:customStyle="1" w:styleId="65">
    <w:name w:val="标准_四级无标题"/>
    <w:basedOn w:val="66"/>
    <w:next w:val="55"/>
    <w:qFormat/>
    <w:uiPriority w:val="0"/>
    <w:rPr>
      <w:rFonts w:eastAsia="宋体"/>
    </w:rPr>
  </w:style>
  <w:style w:type="paragraph" w:customStyle="1" w:styleId="66">
    <w:name w:val="标准文件_四级条标题"/>
    <w:next w:val="55"/>
    <w:qFormat/>
    <w:uiPriority w:val="0"/>
    <w:pPr>
      <w:widowControl w:val="0"/>
      <w:numPr>
        <w:ilvl w:val="5"/>
        <w:numId w:val="2"/>
      </w:numPr>
      <w:spacing w:before="50" w:beforeLines="50" w:after="50" w:afterLines="50"/>
      <w:jc w:val="both"/>
      <w:outlineLvl w:val="4"/>
    </w:pPr>
    <w:rPr>
      <w:rFonts w:ascii="黑体" w:hAnsi="Times New Roman" w:eastAsia="黑体" w:cs="Times New Roman"/>
      <w:sz w:val="21"/>
      <w:lang w:val="en-US" w:eastAsia="zh-CN" w:bidi="ar-SA"/>
    </w:rPr>
  </w:style>
  <w:style w:type="paragraph" w:customStyle="1" w:styleId="67">
    <w:name w:val="标准文件_封面标准分类号"/>
    <w:basedOn w:val="1"/>
    <w:qFormat/>
    <w:uiPriority w:val="0"/>
    <w:rPr>
      <w:rFonts w:ascii="黑体" w:eastAsia="黑体"/>
      <w:b/>
      <w:kern w:val="0"/>
      <w:sz w:val="28"/>
    </w:rPr>
  </w:style>
  <w:style w:type="paragraph" w:customStyle="1" w:styleId="68">
    <w:name w:val="标准文件_封面密级"/>
    <w:basedOn w:val="1"/>
    <w:qFormat/>
    <w:uiPriority w:val="0"/>
    <w:rPr>
      <w:rFonts w:eastAsia="黑体"/>
      <w:sz w:val="32"/>
    </w:rPr>
  </w:style>
  <w:style w:type="paragraph" w:customStyle="1" w:styleId="69">
    <w:name w:val="标准文件_目次、标准名称标题"/>
    <w:basedOn w:val="70"/>
    <w:next w:val="55"/>
    <w:qFormat/>
    <w:uiPriority w:val="0"/>
    <w:pPr>
      <w:spacing w:line="460" w:lineRule="exact"/>
    </w:pPr>
  </w:style>
  <w:style w:type="paragraph" w:customStyle="1" w:styleId="70">
    <w:name w:val="标准文件_前言、引言标题"/>
    <w:next w:val="1"/>
    <w:qFormat/>
    <w:uiPriority w:val="0"/>
    <w:pPr>
      <w:numPr>
        <w:ilvl w:val="0"/>
        <w:numId w:val="3"/>
      </w:numPr>
      <w:shd w:val="clear" w:color="FFFFFF" w:fill="FFFFFF"/>
      <w:spacing w:before="560" w:after="150" w:afterLines="150"/>
      <w:ind w:left="0" w:firstLine="0"/>
      <w:jc w:val="center"/>
      <w:outlineLvl w:val="0"/>
    </w:pPr>
    <w:rPr>
      <w:rFonts w:ascii="黑体" w:hAnsi="黑体" w:eastAsia="黑体" w:cs="Times New Roman"/>
      <w:sz w:val="32"/>
      <w:lang w:val="en-US" w:eastAsia="zh-CN" w:bidi="ar-SA"/>
    </w:rPr>
  </w:style>
  <w:style w:type="paragraph" w:customStyle="1" w:styleId="71">
    <w:name w:val="标准文件_大写罗马数字编号列项"/>
    <w:basedOn w:val="55"/>
    <w:qFormat/>
    <w:uiPriority w:val="0"/>
    <w:pPr>
      <w:numPr>
        <w:ilvl w:val="0"/>
        <w:numId w:val="4"/>
      </w:numPr>
      <w:ind w:firstLine="0" w:firstLineChars="0"/>
    </w:pPr>
    <w:rPr>
      <w:rFonts w:ascii="Times New Roman" w:cs="Arial"/>
      <w:szCs w:val="28"/>
    </w:rPr>
  </w:style>
  <w:style w:type="paragraph" w:customStyle="1" w:styleId="72">
    <w:name w:val="标准文件_引言四级无标题"/>
    <w:basedOn w:val="73"/>
    <w:next w:val="55"/>
    <w:qFormat/>
    <w:uiPriority w:val="0"/>
    <w:pPr>
      <w:spacing w:before="0" w:beforeLines="0" w:after="0" w:afterLines="0" w:line="276" w:lineRule="auto"/>
    </w:pPr>
    <w:rPr>
      <w:rFonts w:ascii="宋体" w:eastAsia="宋体"/>
    </w:rPr>
  </w:style>
  <w:style w:type="paragraph" w:customStyle="1" w:styleId="73">
    <w:name w:val="标准文件_引言四级条标题"/>
    <w:basedOn w:val="55"/>
    <w:next w:val="55"/>
    <w:qFormat/>
    <w:uiPriority w:val="0"/>
    <w:pPr>
      <w:numPr>
        <w:ilvl w:val="4"/>
        <w:numId w:val="3"/>
      </w:numPr>
      <w:spacing w:before="50" w:beforeLines="50" w:after="50" w:afterLines="50"/>
      <w:ind w:firstLineChars="0"/>
    </w:pPr>
    <w:rPr>
      <w:rFonts w:ascii="黑体" w:eastAsia="黑体"/>
    </w:rPr>
  </w:style>
  <w:style w:type="paragraph" w:customStyle="1" w:styleId="74">
    <w:name w:val="标准文件_索引项"/>
    <w:basedOn w:val="55"/>
    <w:next w:val="55"/>
    <w:qFormat/>
    <w:uiPriority w:val="0"/>
    <w:pPr>
      <w:tabs>
        <w:tab w:val="right" w:leader="dot" w:pos="9356"/>
      </w:tabs>
      <w:ind w:left="210" w:hanging="210" w:firstLineChars="0"/>
      <w:jc w:val="left"/>
    </w:pPr>
  </w:style>
  <w:style w:type="paragraph" w:customStyle="1" w:styleId="75">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76">
    <w:name w:val="标准文件_附录标识"/>
    <w:next w:val="55"/>
    <w:qFormat/>
    <w:uiPriority w:val="0"/>
    <w:pPr>
      <w:numPr>
        <w:ilvl w:val="0"/>
        <w:numId w:val="5"/>
      </w:numPr>
      <w:shd w:val="clear" w:color="FFFFFF" w:fill="FFFFFF"/>
      <w:tabs>
        <w:tab w:val="left" w:pos="6406"/>
      </w:tabs>
      <w:spacing w:before="200" w:beforeLines="200" w:after="50" w:afterLines="50"/>
      <w:jc w:val="center"/>
      <w:outlineLvl w:val="0"/>
    </w:pPr>
    <w:rPr>
      <w:rFonts w:ascii="黑体" w:hAnsi="黑体" w:eastAsia="黑体" w:cs="Times New Roman"/>
      <w:sz w:val="21"/>
      <w:lang w:val="en-US" w:eastAsia="zh-CN" w:bidi="ar-SA"/>
    </w:rPr>
  </w:style>
  <w:style w:type="paragraph" w:customStyle="1" w:styleId="77">
    <w:name w:val="标准文件_附录一级无标题"/>
    <w:basedOn w:val="78"/>
    <w:qFormat/>
    <w:uiPriority w:val="0"/>
    <w:pPr>
      <w:spacing w:before="0" w:beforeLines="0" w:after="0" w:afterLines="0" w:line="276" w:lineRule="auto"/>
      <w:outlineLvl w:val="9"/>
    </w:pPr>
    <w:rPr>
      <w:rFonts w:ascii="宋体" w:eastAsia="宋体"/>
    </w:rPr>
  </w:style>
  <w:style w:type="paragraph" w:customStyle="1" w:styleId="78">
    <w:name w:val="标准文件_附录一级条标题"/>
    <w:next w:val="55"/>
    <w:qFormat/>
    <w:uiPriority w:val="0"/>
    <w:pPr>
      <w:widowControl w:val="0"/>
      <w:numPr>
        <w:ilvl w:val="1"/>
        <w:numId w:val="5"/>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79">
    <w:name w:val="标准文件_数字编号列项"/>
    <w:qFormat/>
    <w:uiPriority w:val="0"/>
    <w:pPr>
      <w:numPr>
        <w:ilvl w:val="0"/>
        <w:numId w:val="6"/>
      </w:numPr>
      <w:jc w:val="both"/>
    </w:pPr>
    <w:rPr>
      <w:rFonts w:ascii="宋体" w:hAnsi="宋体" w:eastAsia="宋体" w:cs="Times New Roman"/>
      <w:sz w:val="21"/>
      <w:lang w:val="en-US" w:eastAsia="zh-CN" w:bidi="ar-SA"/>
    </w:rPr>
  </w:style>
  <w:style w:type="paragraph" w:customStyle="1" w:styleId="80">
    <w:name w:val="列项——"/>
    <w:qFormat/>
    <w:uiPriority w:val="0"/>
    <w:pPr>
      <w:widowControl w:val="0"/>
      <w:numPr>
        <w:ilvl w:val="0"/>
        <w:numId w:val="7"/>
      </w:numPr>
      <w:jc w:val="both"/>
    </w:pPr>
    <w:rPr>
      <w:rFonts w:ascii="宋体" w:hAnsi="宋体" w:eastAsia="宋体" w:cs="Times New Roman"/>
      <w:sz w:val="21"/>
      <w:lang w:val="en-US" w:eastAsia="zh-CN" w:bidi="ar-SA"/>
    </w:rPr>
  </w:style>
  <w:style w:type="paragraph" w:customStyle="1" w:styleId="81">
    <w:name w:val="标准文件_正文英文表标题"/>
    <w:next w:val="55"/>
    <w:qFormat/>
    <w:uiPriority w:val="0"/>
    <w:pPr>
      <w:numPr>
        <w:ilvl w:val="0"/>
        <w:numId w:val="8"/>
      </w:numPr>
      <w:jc w:val="center"/>
    </w:pPr>
    <w:rPr>
      <w:rFonts w:ascii="黑体" w:hAnsi="Times New Roman" w:eastAsia="黑体" w:cs="Times New Roman"/>
      <w:sz w:val="21"/>
      <w:lang w:val="en-US" w:eastAsia="zh-CN" w:bidi="ar-SA"/>
    </w:rPr>
  </w:style>
  <w:style w:type="paragraph" w:customStyle="1" w:styleId="82">
    <w:name w:val="标准文件_正文标准名称"/>
    <w:qFormat/>
    <w:uiPriority w:val="0"/>
    <w:pPr>
      <w:spacing w:before="560" w:after="640" w:line="400" w:lineRule="exact"/>
      <w:jc w:val="center"/>
    </w:pPr>
    <w:rPr>
      <w:rFonts w:ascii="黑体" w:hAnsi="黑体" w:eastAsia="黑体" w:cs="Times New Roman"/>
      <w:kern w:val="2"/>
      <w:sz w:val="32"/>
      <w:szCs w:val="32"/>
      <w:lang w:val="en-US" w:eastAsia="zh-CN" w:bidi="ar-SA"/>
    </w:rPr>
  </w:style>
  <w:style w:type="paragraph" w:customStyle="1" w:styleId="83">
    <w:name w:val="标准文件_图表脚注"/>
    <w:basedOn w:val="1"/>
    <w:next w:val="55"/>
    <w:qFormat/>
    <w:uiPriority w:val="0"/>
    <w:pPr>
      <w:numPr>
        <w:ilvl w:val="0"/>
        <w:numId w:val="9"/>
      </w:numPr>
      <w:spacing w:line="240" w:lineRule="auto"/>
      <w:jc w:val="left"/>
    </w:pPr>
    <w:rPr>
      <w:rFonts w:ascii="宋体" w:hAnsi="宋体"/>
      <w:sz w:val="18"/>
    </w:rPr>
  </w:style>
  <w:style w:type="paragraph" w:customStyle="1" w:styleId="84">
    <w:name w:val="注:后续"/>
    <w:qFormat/>
    <w:uiPriority w:val="0"/>
    <w:pPr>
      <w:spacing w:line="300" w:lineRule="exact"/>
      <w:ind w:left="600" w:leftChars="400" w:hanging="200" w:hangingChars="200"/>
      <w:jc w:val="both"/>
    </w:pPr>
    <w:rPr>
      <w:rFonts w:ascii="宋体" w:hAnsi="Times New Roman" w:eastAsia="宋体" w:cs="Times New Roman"/>
      <w:sz w:val="18"/>
      <w:lang w:val="en-US" w:eastAsia="zh-CN" w:bidi="ar-SA"/>
    </w:rPr>
  </w:style>
  <w:style w:type="paragraph" w:customStyle="1" w:styleId="85">
    <w:name w:val="标准文件_附录表标号"/>
    <w:basedOn w:val="55"/>
    <w:next w:val="55"/>
    <w:qFormat/>
    <w:uiPriority w:val="0"/>
    <w:pPr>
      <w:numPr>
        <w:ilvl w:val="0"/>
        <w:numId w:val="10"/>
      </w:numPr>
      <w:spacing w:line="14" w:lineRule="exact"/>
      <w:ind w:firstLine="0" w:firstLineChars="0"/>
      <w:jc w:val="center"/>
    </w:pPr>
    <w:rPr>
      <w:rFonts w:eastAsia="黑体"/>
      <w:vanish/>
      <w:sz w:val="2"/>
    </w:rPr>
  </w:style>
  <w:style w:type="paragraph" w:customStyle="1" w:styleId="86">
    <w:name w:val="标准文件_引言一级条标题"/>
    <w:basedOn w:val="55"/>
    <w:next w:val="55"/>
    <w:qFormat/>
    <w:uiPriority w:val="0"/>
    <w:pPr>
      <w:numPr>
        <w:ilvl w:val="1"/>
        <w:numId w:val="3"/>
      </w:numPr>
      <w:spacing w:before="50" w:beforeLines="50" w:after="50" w:afterLines="50"/>
      <w:ind w:firstLineChars="0"/>
    </w:pPr>
    <w:rPr>
      <w:rFonts w:ascii="黑体" w:eastAsia="黑体"/>
    </w:rPr>
  </w:style>
  <w:style w:type="paragraph" w:customStyle="1" w:styleId="87">
    <w:name w:val="标准文件_小写罗马数字编号列项"/>
    <w:basedOn w:val="55"/>
    <w:qFormat/>
    <w:uiPriority w:val="0"/>
    <w:pPr>
      <w:numPr>
        <w:ilvl w:val="0"/>
        <w:numId w:val="11"/>
      </w:numPr>
      <w:ind w:firstLine="0" w:firstLineChars="0"/>
    </w:pPr>
    <w:rPr>
      <w:rFonts w:cs="Arial"/>
      <w:szCs w:val="28"/>
    </w:rPr>
  </w:style>
  <w:style w:type="paragraph" w:customStyle="1" w:styleId="88">
    <w:name w:val="目录 31"/>
    <w:basedOn w:val="1"/>
    <w:next w:val="1"/>
    <w:semiHidden/>
    <w:qFormat/>
    <w:uiPriority w:val="0"/>
    <w:pPr>
      <w:spacing w:line="240" w:lineRule="auto"/>
    </w:pPr>
    <w:rPr>
      <w:rFonts w:ascii="宋体" w:hAnsi="宋体"/>
      <w:iCs/>
    </w:rPr>
  </w:style>
  <w:style w:type="paragraph" w:customStyle="1" w:styleId="89">
    <w:name w:val="标准文件_公式后的破折号"/>
    <w:basedOn w:val="55"/>
    <w:next w:val="55"/>
    <w:qFormat/>
    <w:uiPriority w:val="0"/>
    <w:pPr>
      <w:ind w:left="488" w:leftChars="200" w:hanging="289" w:hangingChars="290"/>
    </w:pPr>
  </w:style>
  <w:style w:type="paragraph" w:customStyle="1" w:styleId="90">
    <w:name w:val="标准文件_附录表标题"/>
    <w:next w:val="55"/>
    <w:qFormat/>
    <w:uiPriority w:val="0"/>
    <w:pPr>
      <w:numPr>
        <w:ilvl w:val="1"/>
        <w:numId w:val="10"/>
      </w:numPr>
      <w:adjustRightInd w:val="0"/>
      <w:snapToGrid w:val="0"/>
      <w:spacing w:before="50" w:beforeLines="50" w:after="50" w:afterLines="50"/>
      <w:ind w:firstLine="420"/>
      <w:jc w:val="center"/>
      <w:textAlignment w:val="baseline"/>
    </w:pPr>
    <w:rPr>
      <w:rFonts w:ascii="黑体" w:hAnsi="Times New Roman" w:eastAsia="黑体" w:cs="Times New Roman"/>
      <w:kern w:val="21"/>
      <w:sz w:val="21"/>
      <w:lang w:val="en-US" w:eastAsia="zh-CN" w:bidi="ar-SA"/>
    </w:rPr>
  </w:style>
  <w:style w:type="paragraph" w:customStyle="1" w:styleId="91">
    <w:name w:val="标准文件_附录英文标识"/>
    <w:next w:val="14"/>
    <w:qFormat/>
    <w:uiPriority w:val="0"/>
    <w:pPr>
      <w:numPr>
        <w:ilvl w:val="0"/>
        <w:numId w:val="12"/>
      </w:numPr>
      <w:tabs>
        <w:tab w:val="left" w:pos="6406"/>
      </w:tabs>
      <w:spacing w:before="220" w:after="320"/>
      <w:jc w:val="center"/>
      <w:outlineLvl w:val="0"/>
    </w:pPr>
    <w:rPr>
      <w:rFonts w:ascii="黑体" w:hAnsi="Times New Roman" w:eastAsia="黑体" w:cs="Times New Roman"/>
      <w:sz w:val="21"/>
      <w:lang w:val="en-US" w:eastAsia="zh-CN" w:bidi="ar-SA"/>
    </w:rPr>
  </w:style>
  <w:style w:type="paragraph" w:customStyle="1" w:styleId="92">
    <w:name w:val="标准文件_一级条标题"/>
    <w:basedOn w:val="93"/>
    <w:next w:val="55"/>
    <w:qFormat/>
    <w:uiPriority w:val="0"/>
    <w:pPr>
      <w:numPr>
        <w:ilvl w:val="2"/>
      </w:numPr>
      <w:spacing w:before="50" w:beforeLines="50" w:after="50" w:afterLines="50"/>
      <w:outlineLvl w:val="1"/>
    </w:pPr>
  </w:style>
  <w:style w:type="paragraph" w:customStyle="1" w:styleId="93">
    <w:name w:val="标准文件_章标题"/>
    <w:next w:val="55"/>
    <w:qFormat/>
    <w:uiPriority w:val="0"/>
    <w:pPr>
      <w:numPr>
        <w:ilvl w:val="1"/>
        <w:numId w:val="2"/>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94">
    <w:name w:val="其他发布部门"/>
    <w:basedOn w:val="95"/>
    <w:qFormat/>
    <w:uiPriority w:val="0"/>
    <w:pPr>
      <w:framePr w:wrap="around"/>
      <w:spacing w:line="0" w:lineRule="atLeast"/>
    </w:pPr>
    <w:rPr>
      <w:rFonts w:ascii="黑体" w:eastAsia="黑体"/>
      <w:b w:val="0"/>
    </w:rPr>
  </w:style>
  <w:style w:type="paragraph" w:customStyle="1" w:styleId="95">
    <w:name w:val="发布部门"/>
    <w:next w:val="55"/>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paragraph" w:customStyle="1" w:styleId="96">
    <w:name w:val="标准文件_破折号列项（二级）"/>
    <w:basedOn w:val="97"/>
    <w:qFormat/>
    <w:uiPriority w:val="0"/>
    <w:pPr>
      <w:numPr>
        <w:numId w:val="13"/>
      </w:numPr>
      <w:ind w:left="0" w:firstLine="200"/>
    </w:pPr>
  </w:style>
  <w:style w:type="paragraph" w:customStyle="1" w:styleId="97">
    <w:name w:val="标准文件_破折号列项"/>
    <w:qFormat/>
    <w:uiPriority w:val="0"/>
    <w:pPr>
      <w:numPr>
        <w:ilvl w:val="0"/>
        <w:numId w:val="14"/>
      </w:numPr>
      <w:adjustRightInd w:val="0"/>
      <w:snapToGrid w:val="0"/>
      <w:ind w:left="0" w:firstLine="200" w:firstLineChars="200"/>
    </w:pPr>
    <w:rPr>
      <w:rFonts w:ascii="Times New Roman" w:hAnsi="Times New Roman" w:eastAsia="宋体" w:cs="Times New Roman"/>
      <w:sz w:val="21"/>
      <w:lang w:val="en-US" w:eastAsia="zh-CN" w:bidi="ar-SA"/>
    </w:rPr>
  </w:style>
  <w:style w:type="paragraph" w:customStyle="1" w:styleId="98">
    <w:name w:val="标准文件_引言二级无标题"/>
    <w:basedOn w:val="99"/>
    <w:next w:val="55"/>
    <w:qFormat/>
    <w:uiPriority w:val="0"/>
    <w:pPr>
      <w:spacing w:before="0" w:beforeLines="0" w:after="0" w:afterLines="0" w:line="276" w:lineRule="auto"/>
    </w:pPr>
    <w:rPr>
      <w:rFonts w:ascii="宋体" w:eastAsia="宋体"/>
    </w:rPr>
  </w:style>
  <w:style w:type="paragraph" w:customStyle="1" w:styleId="99">
    <w:name w:val="标准文件_引言二级条标题"/>
    <w:basedOn w:val="55"/>
    <w:next w:val="55"/>
    <w:qFormat/>
    <w:uiPriority w:val="0"/>
    <w:pPr>
      <w:numPr>
        <w:ilvl w:val="2"/>
        <w:numId w:val="3"/>
      </w:numPr>
      <w:spacing w:before="50" w:beforeLines="50" w:after="50" w:afterLines="50"/>
      <w:ind w:firstLineChars="0"/>
    </w:pPr>
    <w:rPr>
      <w:rFonts w:ascii="黑体" w:eastAsia="黑体"/>
    </w:rPr>
  </w:style>
  <w:style w:type="paragraph" w:customStyle="1" w:styleId="100">
    <w:name w:val="标准文件_附录标题"/>
    <w:basedOn w:val="76"/>
    <w:qFormat/>
    <w:uiPriority w:val="0"/>
    <w:pPr>
      <w:numPr>
        <w:numId w:val="0"/>
      </w:numPr>
      <w:spacing w:after="280"/>
      <w:outlineLvl w:val="9"/>
    </w:pPr>
  </w:style>
  <w:style w:type="paragraph" w:customStyle="1" w:styleId="101">
    <w:name w:val="五级无标题条"/>
    <w:basedOn w:val="1"/>
    <w:qFormat/>
    <w:uiPriority w:val="0"/>
    <w:pPr>
      <w:numPr>
        <w:ilvl w:val="6"/>
        <w:numId w:val="15"/>
      </w:numPr>
      <w:adjustRightInd/>
    </w:pPr>
    <w:rPr>
      <w:szCs w:val="24"/>
    </w:rPr>
  </w:style>
  <w:style w:type="paragraph" w:customStyle="1" w:styleId="102">
    <w:name w:val="附录四级无标题条"/>
    <w:basedOn w:val="103"/>
    <w:next w:val="55"/>
    <w:qFormat/>
    <w:uiPriority w:val="0"/>
    <w:pPr>
      <w:outlineLvl w:val="5"/>
    </w:pPr>
  </w:style>
  <w:style w:type="paragraph" w:customStyle="1" w:styleId="103">
    <w:name w:val="附录三级无标题条"/>
    <w:basedOn w:val="104"/>
    <w:next w:val="55"/>
    <w:qFormat/>
    <w:uiPriority w:val="0"/>
    <w:pPr>
      <w:outlineLvl w:val="4"/>
    </w:pPr>
  </w:style>
  <w:style w:type="paragraph" w:customStyle="1" w:styleId="104">
    <w:name w:val="附录二级无标题条"/>
    <w:basedOn w:val="1"/>
    <w:next w:val="55"/>
    <w:qFormat/>
    <w:uiPriority w:val="0"/>
    <w:pPr>
      <w:widowControl/>
      <w:wordWrap w:val="0"/>
      <w:overflowPunct w:val="0"/>
      <w:autoSpaceDE w:val="0"/>
      <w:autoSpaceDN w:val="0"/>
      <w:adjustRightInd/>
      <w:spacing w:line="240" w:lineRule="auto"/>
      <w:textAlignment w:val="baseline"/>
      <w:outlineLvl w:val="3"/>
    </w:pPr>
    <w:rPr>
      <w:rFonts w:ascii="宋体" w:hAnsi="宋体"/>
      <w:kern w:val="21"/>
    </w:rPr>
  </w:style>
  <w:style w:type="paragraph" w:customStyle="1" w:styleId="105">
    <w:name w:val="标准文件_标准部门"/>
    <w:basedOn w:val="1"/>
    <w:qFormat/>
    <w:uiPriority w:val="0"/>
    <w:pPr>
      <w:jc w:val="center"/>
    </w:pPr>
    <w:rPr>
      <w:rFonts w:ascii="黑体" w:eastAsia="黑体"/>
      <w:kern w:val="0"/>
      <w:sz w:val="44"/>
    </w:rPr>
  </w:style>
  <w:style w:type="paragraph" w:customStyle="1" w:styleId="106">
    <w:name w:val="标准文件_引言三级条标题"/>
    <w:basedOn w:val="55"/>
    <w:next w:val="55"/>
    <w:qFormat/>
    <w:uiPriority w:val="0"/>
    <w:pPr>
      <w:numPr>
        <w:ilvl w:val="3"/>
        <w:numId w:val="3"/>
      </w:numPr>
      <w:spacing w:before="50" w:beforeLines="50" w:after="50" w:afterLines="50"/>
      <w:ind w:firstLineChars="0"/>
    </w:pPr>
    <w:rPr>
      <w:rFonts w:ascii="黑体" w:eastAsia="黑体"/>
    </w:rPr>
  </w:style>
  <w:style w:type="paragraph" w:customStyle="1" w:styleId="107">
    <w:name w:val="封面标准代替信息"/>
    <w:basedOn w:val="1"/>
    <w:qFormat/>
    <w:uiPriority w:val="0"/>
    <w:pPr>
      <w:framePr w:w="9138" w:h="1244" w:hRule="exact" w:wrap="around" w:vAnchor="page" w:hAnchor="margin" w:y="2908"/>
      <w:kinsoku w:val="0"/>
      <w:overflowPunct w:val="0"/>
      <w:autoSpaceDE w:val="0"/>
      <w:autoSpaceDN w:val="0"/>
      <w:spacing w:before="57" w:line="280" w:lineRule="exact"/>
      <w:jc w:val="right"/>
      <w:textAlignment w:val="center"/>
    </w:pPr>
    <w:rPr>
      <w:rFonts w:ascii="宋体" w:hAnsi="Times New Roman"/>
      <w:kern w:val="0"/>
      <w:szCs w:val="20"/>
    </w:rPr>
  </w:style>
  <w:style w:type="paragraph" w:customStyle="1" w:styleId="108">
    <w:name w:val="标准书眉一"/>
    <w:qFormat/>
    <w:uiPriority w:val="0"/>
    <w:pPr>
      <w:jc w:val="both"/>
    </w:pPr>
    <w:rPr>
      <w:rFonts w:ascii="Times New Roman" w:hAnsi="Times New Roman" w:eastAsia="宋体" w:cs="Times New Roman"/>
      <w:lang w:val="en-US" w:eastAsia="zh-CN" w:bidi="ar-SA"/>
    </w:rPr>
  </w:style>
  <w:style w:type="paragraph" w:customStyle="1" w:styleId="109">
    <w:name w:val="标准文件_注×："/>
    <w:qFormat/>
    <w:uiPriority w:val="0"/>
    <w:pPr>
      <w:widowControl w:val="0"/>
      <w:numPr>
        <w:ilvl w:val="0"/>
        <w:numId w:val="16"/>
      </w:numPr>
      <w:autoSpaceDE w:val="0"/>
      <w:autoSpaceDN w:val="0"/>
      <w:jc w:val="both"/>
    </w:pPr>
    <w:rPr>
      <w:rFonts w:ascii="宋体" w:hAnsi="Times New Roman" w:eastAsia="宋体" w:cs="Times New Roman"/>
      <w:sz w:val="18"/>
      <w:szCs w:val="18"/>
      <w:lang w:val="en-US" w:eastAsia="zh-CN" w:bidi="ar-SA"/>
    </w:rPr>
  </w:style>
  <w:style w:type="paragraph" w:customStyle="1" w:styleId="110">
    <w:name w:val="标准文件_封面抬头"/>
    <w:basedOn w:val="55"/>
    <w:qFormat/>
    <w:uiPriority w:val="0"/>
    <w:pPr>
      <w:adjustRightInd w:val="0"/>
      <w:spacing w:line="800" w:lineRule="exact"/>
      <w:ind w:firstLine="0" w:firstLineChars="0"/>
      <w:jc w:val="distribute"/>
    </w:pPr>
    <w:rPr>
      <w:rFonts w:ascii="黑体" w:eastAsia="黑体"/>
      <w:b/>
      <w:sz w:val="64"/>
    </w:rPr>
  </w:style>
  <w:style w:type="paragraph" w:customStyle="1" w:styleId="111">
    <w:name w:val="标准文件_正文公式"/>
    <w:basedOn w:val="1"/>
    <w:next w:val="112"/>
    <w:qFormat/>
    <w:uiPriority w:val="0"/>
    <w:pPr>
      <w:tabs>
        <w:tab w:val="center" w:pos="4678"/>
        <w:tab w:val="right" w:leader="middleDot" w:pos="9356"/>
      </w:tabs>
      <w:spacing w:line="240" w:lineRule="auto"/>
    </w:pPr>
    <w:rPr>
      <w:rFonts w:ascii="宋体" w:hAnsi="宋体"/>
    </w:rPr>
  </w:style>
  <w:style w:type="paragraph" w:customStyle="1" w:styleId="112">
    <w:name w:val="标准文件_标准正文"/>
    <w:basedOn w:val="1"/>
    <w:next w:val="55"/>
    <w:qFormat/>
    <w:uiPriority w:val="0"/>
    <w:pPr>
      <w:snapToGrid w:val="0"/>
      <w:ind w:firstLine="200" w:firstLineChars="200"/>
    </w:pPr>
    <w:rPr>
      <w:kern w:val="0"/>
    </w:rPr>
  </w:style>
  <w:style w:type="paragraph" w:customStyle="1" w:styleId="113">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114">
    <w:name w:val="附录性质"/>
    <w:basedOn w:val="1"/>
    <w:qFormat/>
    <w:uiPriority w:val="0"/>
    <w:pPr>
      <w:widowControl/>
      <w:adjustRightInd/>
      <w:jc w:val="center"/>
    </w:pPr>
    <w:rPr>
      <w:rFonts w:ascii="黑体" w:eastAsia="黑体"/>
    </w:rPr>
  </w:style>
  <w:style w:type="paragraph" w:customStyle="1" w:styleId="115">
    <w:name w:val="标准文件_示例内容"/>
    <w:basedOn w:val="55"/>
    <w:qFormat/>
    <w:uiPriority w:val="0"/>
    <w:pPr>
      <w:ind w:firstLine="420"/>
    </w:pPr>
    <w:rPr>
      <w:sz w:val="18"/>
    </w:rPr>
  </w:style>
  <w:style w:type="paragraph" w:customStyle="1" w:styleId="116">
    <w:name w:val="一级无标题条"/>
    <w:basedOn w:val="1"/>
    <w:qFormat/>
    <w:uiPriority w:val="0"/>
    <w:pPr>
      <w:numPr>
        <w:ilvl w:val="2"/>
        <w:numId w:val="15"/>
      </w:numPr>
      <w:adjustRightInd/>
      <w:spacing w:before="10" w:after="10" w:line="240" w:lineRule="auto"/>
    </w:pPr>
    <w:rPr>
      <w:rFonts w:ascii="宋体" w:hAnsi="宋体"/>
      <w:szCs w:val="24"/>
    </w:rPr>
  </w:style>
  <w:style w:type="paragraph" w:customStyle="1" w:styleId="117">
    <w:name w:val="四级无标题条"/>
    <w:basedOn w:val="1"/>
    <w:qFormat/>
    <w:uiPriority w:val="0"/>
    <w:pPr>
      <w:numPr>
        <w:ilvl w:val="5"/>
        <w:numId w:val="15"/>
      </w:numPr>
      <w:adjustRightInd/>
      <w:spacing w:line="240" w:lineRule="auto"/>
    </w:pPr>
    <w:rPr>
      <w:rFonts w:ascii="宋体" w:hAnsi="宋体"/>
      <w:szCs w:val="24"/>
    </w:rPr>
  </w:style>
  <w:style w:type="paragraph" w:customStyle="1" w:styleId="118">
    <w:name w:val="标准文件_术语条三"/>
    <w:basedOn w:val="119"/>
    <w:next w:val="55"/>
    <w:qFormat/>
    <w:uiPriority w:val="0"/>
    <w:rPr>
      <w:rFonts w:ascii="黑体" w:hAnsi="黑体" w:eastAsia="黑体" w:cs="黑体"/>
    </w:rPr>
  </w:style>
  <w:style w:type="paragraph" w:customStyle="1" w:styleId="119">
    <w:name w:val="标准文件_三级无标题"/>
    <w:basedOn w:val="120"/>
    <w:qFormat/>
    <w:uiPriority w:val="0"/>
    <w:pPr>
      <w:spacing w:before="0" w:beforeLines="0" w:after="0" w:afterLines="0"/>
      <w:outlineLvl w:val="9"/>
    </w:pPr>
    <w:rPr>
      <w:rFonts w:ascii="宋体" w:eastAsia="宋体"/>
    </w:rPr>
  </w:style>
  <w:style w:type="paragraph" w:customStyle="1" w:styleId="120">
    <w:name w:val="标准文件_三级条标题"/>
    <w:basedOn w:val="121"/>
    <w:next w:val="55"/>
    <w:qFormat/>
    <w:uiPriority w:val="0"/>
    <w:pPr>
      <w:widowControl/>
      <w:numPr>
        <w:ilvl w:val="4"/>
      </w:numPr>
      <w:outlineLvl w:val="3"/>
    </w:pPr>
  </w:style>
  <w:style w:type="paragraph" w:customStyle="1" w:styleId="121">
    <w:name w:val="标准文件_二级条标题"/>
    <w:next w:val="55"/>
    <w:qFormat/>
    <w:uiPriority w:val="0"/>
    <w:pPr>
      <w:widowControl w:val="0"/>
      <w:numPr>
        <w:ilvl w:val="3"/>
        <w:numId w:val="2"/>
      </w:numPr>
      <w:spacing w:before="50" w:beforeLines="50" w:after="50" w:afterLines="50"/>
      <w:jc w:val="both"/>
      <w:outlineLvl w:val="2"/>
    </w:pPr>
    <w:rPr>
      <w:rFonts w:ascii="黑体" w:hAnsi="Times New Roman" w:eastAsia="黑体" w:cs="Times New Roman"/>
      <w:sz w:val="21"/>
      <w:lang w:val="en-US" w:eastAsia="zh-CN" w:bidi="ar-SA"/>
    </w:rPr>
  </w:style>
  <w:style w:type="paragraph" w:customStyle="1" w:styleId="122">
    <w:name w:val="目录 21"/>
    <w:basedOn w:val="1"/>
    <w:next w:val="1"/>
    <w:semiHidden/>
    <w:qFormat/>
    <w:uiPriority w:val="0"/>
    <w:pPr>
      <w:adjustRightInd/>
      <w:spacing w:line="240" w:lineRule="auto"/>
      <w:jc w:val="left"/>
    </w:pPr>
    <w:rPr>
      <w:bCs/>
      <w:iCs/>
    </w:rPr>
  </w:style>
  <w:style w:type="paragraph" w:customStyle="1" w:styleId="123">
    <w:name w:val="目录 91"/>
    <w:basedOn w:val="124"/>
    <w:semiHidden/>
    <w:qFormat/>
    <w:uiPriority w:val="0"/>
    <w:pPr>
      <w:ind w:left="1680"/>
    </w:pPr>
  </w:style>
  <w:style w:type="paragraph" w:customStyle="1" w:styleId="124">
    <w:name w:val="目录 81"/>
    <w:basedOn w:val="125"/>
    <w:semiHidden/>
    <w:qFormat/>
    <w:uiPriority w:val="0"/>
    <w:pPr>
      <w:ind w:left="1470"/>
    </w:pPr>
  </w:style>
  <w:style w:type="paragraph" w:customStyle="1" w:styleId="125">
    <w:name w:val="目录 71"/>
    <w:basedOn w:val="126"/>
    <w:semiHidden/>
    <w:qFormat/>
    <w:uiPriority w:val="0"/>
    <w:pPr>
      <w:ind w:left="1260"/>
    </w:pPr>
  </w:style>
  <w:style w:type="paragraph" w:customStyle="1" w:styleId="126">
    <w:name w:val="目录 61"/>
    <w:basedOn w:val="1"/>
    <w:next w:val="1"/>
    <w:semiHidden/>
    <w:qFormat/>
    <w:uiPriority w:val="0"/>
    <w:pPr>
      <w:adjustRightInd/>
      <w:spacing w:line="240" w:lineRule="auto"/>
      <w:jc w:val="left"/>
    </w:pPr>
  </w:style>
  <w:style w:type="paragraph" w:customStyle="1" w:styleId="127">
    <w:name w:val="标准文件_一级项"/>
    <w:qFormat/>
    <w:uiPriority w:val="0"/>
    <w:pPr>
      <w:numPr>
        <w:ilvl w:val="0"/>
        <w:numId w:val="17"/>
      </w:numPr>
    </w:pPr>
    <w:rPr>
      <w:rFonts w:ascii="宋体" w:hAnsi="Times New Roman" w:eastAsia="宋体" w:cs="Times New Roman"/>
      <w:sz w:val="21"/>
      <w:lang w:val="en-US" w:eastAsia="zh-CN" w:bidi="ar-SA"/>
    </w:rPr>
  </w:style>
  <w:style w:type="paragraph" w:customStyle="1" w:styleId="128">
    <w:name w:val="标准文件_三级项2"/>
    <w:basedOn w:val="55"/>
    <w:qFormat/>
    <w:uiPriority w:val="0"/>
    <w:pPr>
      <w:numPr>
        <w:ilvl w:val="0"/>
        <w:numId w:val="18"/>
      </w:numPr>
      <w:spacing w:line="300" w:lineRule="exact"/>
      <w:ind w:left="1276" w:hanging="425" w:firstLineChars="0"/>
    </w:pPr>
    <w:rPr>
      <w:rFonts w:ascii="Times New Roman"/>
    </w:rPr>
  </w:style>
  <w:style w:type="paragraph" w:customStyle="1" w:styleId="129">
    <w:name w:val="标准文件_一级无标题"/>
    <w:basedOn w:val="92"/>
    <w:qFormat/>
    <w:uiPriority w:val="0"/>
    <w:pPr>
      <w:spacing w:before="0" w:beforeLines="0" w:after="0" w:afterLines="0"/>
      <w:outlineLvl w:val="9"/>
    </w:pPr>
    <w:rPr>
      <w:rFonts w:ascii="宋体" w:eastAsia="宋体"/>
    </w:rPr>
  </w:style>
  <w:style w:type="paragraph" w:customStyle="1" w:styleId="130">
    <w:name w:val="标准文件_引言五级条标题"/>
    <w:basedOn w:val="55"/>
    <w:next w:val="55"/>
    <w:qFormat/>
    <w:uiPriority w:val="0"/>
    <w:pPr>
      <w:numPr>
        <w:ilvl w:val="5"/>
        <w:numId w:val="3"/>
      </w:numPr>
      <w:spacing w:before="50" w:beforeLines="50" w:after="50" w:afterLines="50"/>
      <w:ind w:firstLineChars="0"/>
    </w:pPr>
    <w:rPr>
      <w:rFonts w:ascii="黑体" w:eastAsia="黑体"/>
    </w:rPr>
  </w:style>
  <w:style w:type="paragraph" w:customStyle="1" w:styleId="131">
    <w:name w:val="标准文件_三级项"/>
    <w:basedOn w:val="1"/>
    <w:qFormat/>
    <w:uiPriority w:val="0"/>
    <w:pPr>
      <w:numPr>
        <w:ilvl w:val="2"/>
        <w:numId w:val="17"/>
      </w:numPr>
      <w:spacing w:line="300" w:lineRule="exact"/>
    </w:pPr>
    <w:rPr>
      <w:rFonts w:ascii="Times New Roman" w:hAnsi="Times New Roman"/>
    </w:rPr>
  </w:style>
  <w:style w:type="paragraph" w:customStyle="1" w:styleId="132">
    <w:name w:val="标准文件_附录二级条标题"/>
    <w:basedOn w:val="78"/>
    <w:next w:val="55"/>
    <w:qFormat/>
    <w:uiPriority w:val="0"/>
    <w:pPr>
      <w:widowControl/>
      <w:numPr>
        <w:ilvl w:val="2"/>
      </w:numPr>
      <w:wordWrap w:val="0"/>
      <w:overflowPunct w:val="0"/>
      <w:autoSpaceDE w:val="0"/>
      <w:autoSpaceDN w:val="0"/>
      <w:textAlignment w:val="baseline"/>
      <w:outlineLvl w:val="3"/>
    </w:pPr>
  </w:style>
  <w:style w:type="paragraph" w:customStyle="1" w:styleId="133">
    <w:name w:val="其他实施日期"/>
    <w:basedOn w:val="134"/>
    <w:qFormat/>
    <w:uiPriority w:val="0"/>
    <w:pPr>
      <w:framePr w:w="3997" w:h="471" w:hRule="exact" w:vSpace="181" w:wrap="around" w:vAnchor="page" w:hAnchor="page" w:x="7089" w:y="14097"/>
    </w:pPr>
  </w:style>
  <w:style w:type="paragraph" w:customStyle="1" w:styleId="134">
    <w:name w:val="实施日期"/>
    <w:basedOn w:val="75"/>
    <w:qFormat/>
    <w:uiPriority w:val="0"/>
    <w:pPr>
      <w:framePr w:hSpace="0" w:wrap="around" w:xAlign="right"/>
      <w:jc w:val="right"/>
    </w:pPr>
  </w:style>
  <w:style w:type="paragraph" w:customStyle="1" w:styleId="135">
    <w:name w:val="标准文件_附录二级无标题"/>
    <w:basedOn w:val="132"/>
    <w:qFormat/>
    <w:uiPriority w:val="0"/>
    <w:pPr>
      <w:spacing w:before="0" w:beforeLines="0" w:after="0" w:afterLines="0" w:line="276" w:lineRule="auto"/>
      <w:outlineLvl w:val="9"/>
    </w:pPr>
    <w:rPr>
      <w:rFonts w:ascii="宋体" w:eastAsia="宋体"/>
    </w:rPr>
  </w:style>
  <w:style w:type="paragraph" w:customStyle="1" w:styleId="136">
    <w:name w:val="标准文件_提示"/>
    <w:basedOn w:val="55"/>
    <w:next w:val="55"/>
    <w:qFormat/>
    <w:uiPriority w:val="0"/>
    <w:pPr>
      <w:ind w:firstLine="420"/>
    </w:pPr>
    <w:rPr>
      <w:rFonts w:ascii="黑体" w:eastAsia="黑体"/>
    </w:rPr>
  </w:style>
  <w:style w:type="paragraph" w:customStyle="1" w:styleId="137">
    <w:name w:val="标准文件_字母编号列项（一级）"/>
    <w:qFormat/>
    <w:uiPriority w:val="0"/>
    <w:pPr>
      <w:numPr>
        <w:ilvl w:val="0"/>
        <w:numId w:val="19"/>
      </w:numPr>
      <w:jc w:val="both"/>
    </w:pPr>
    <w:rPr>
      <w:rFonts w:ascii="宋体" w:hAnsi="Times New Roman" w:eastAsia="宋体" w:cs="Times New Roman"/>
      <w:sz w:val="21"/>
      <w:lang w:val="en-US" w:eastAsia="zh-CN" w:bidi="ar-SA"/>
    </w:rPr>
  </w:style>
  <w:style w:type="paragraph" w:customStyle="1" w:styleId="138">
    <w:name w:val="注×:后续"/>
    <w:basedOn w:val="84"/>
    <w:qFormat/>
    <w:uiPriority w:val="0"/>
    <w:pPr>
      <w:ind w:left="1406" w:leftChars="0" w:hanging="499" w:firstLineChars="0"/>
    </w:pPr>
  </w:style>
  <w:style w:type="paragraph" w:customStyle="1" w:styleId="139">
    <w:name w:val="标准文件_一级项2"/>
    <w:basedOn w:val="55"/>
    <w:qFormat/>
    <w:uiPriority w:val="0"/>
    <w:pPr>
      <w:numPr>
        <w:ilvl w:val="0"/>
        <w:numId w:val="20"/>
      </w:numPr>
      <w:spacing w:line="300" w:lineRule="exact"/>
      <w:ind w:left="1271" w:hanging="420" w:firstLineChars="0"/>
    </w:pPr>
    <w:rPr>
      <w:rFonts w:ascii="Times New Roman"/>
    </w:rPr>
  </w:style>
  <w:style w:type="paragraph" w:customStyle="1" w:styleId="140">
    <w:name w:val="标准文件_一致程度"/>
    <w:basedOn w:val="1"/>
    <w:qFormat/>
    <w:uiPriority w:val="0"/>
    <w:pPr>
      <w:spacing w:line="440" w:lineRule="exact"/>
      <w:jc w:val="center"/>
    </w:pPr>
    <w:rPr>
      <w:sz w:val="28"/>
    </w:rPr>
  </w:style>
  <w:style w:type="paragraph" w:customStyle="1" w:styleId="141">
    <w:name w:val="标准文件_示例后续"/>
    <w:basedOn w:val="1"/>
    <w:qFormat/>
    <w:uiPriority w:val="0"/>
    <w:pPr>
      <w:adjustRightInd/>
      <w:spacing w:line="240" w:lineRule="auto"/>
      <w:ind w:firstLine="200" w:firstLineChars="200"/>
    </w:pPr>
    <w:rPr>
      <w:sz w:val="18"/>
      <w:szCs w:val="24"/>
    </w:rPr>
  </w:style>
  <w:style w:type="paragraph" w:customStyle="1" w:styleId="142">
    <w:name w:val="标准文件_附录章标题"/>
    <w:next w:val="55"/>
    <w:qFormat/>
    <w:uiPriority w:val="0"/>
    <w:pPr>
      <w:wordWrap w:val="0"/>
      <w:overflowPunct w:val="0"/>
      <w:autoSpaceDE w:val="0"/>
      <w:spacing w:beforeLines="50" w:afterLines="50"/>
      <w:jc w:val="both"/>
      <w:textAlignment w:val="baseline"/>
      <w:outlineLvl w:val="1"/>
    </w:pPr>
    <w:rPr>
      <w:rFonts w:ascii="黑体" w:hAnsi="Times New Roman" w:eastAsia="黑体" w:cs="Times New Roman"/>
      <w:kern w:val="21"/>
      <w:sz w:val="21"/>
      <w:lang w:val="en-US" w:eastAsia="zh-CN" w:bidi="ar-SA"/>
    </w:rPr>
  </w:style>
  <w:style w:type="paragraph" w:customStyle="1" w:styleId="143">
    <w:name w:val="标准文件_文件编号"/>
    <w:basedOn w:val="55"/>
    <w:qFormat/>
    <w:uiPriority w:val="0"/>
    <w:pPr>
      <w:framePr w:w="9356" w:h="624" w:hRule="exact" w:hSpace="181" w:vSpace="181" w:wrap="around" w:vAnchor="page" w:hAnchor="page" w:x="1419" w:y="3284"/>
      <w:wordWrap w:val="0"/>
      <w:spacing w:line="280" w:lineRule="exact"/>
      <w:ind w:firstLine="0" w:firstLineChars="0"/>
      <w:jc w:val="right"/>
    </w:pPr>
    <w:rPr>
      <w:rFonts w:ascii="黑体" w:eastAsia="黑体"/>
      <w:bCs/>
      <w:sz w:val="28"/>
      <w:szCs w:val="28"/>
    </w:rPr>
  </w:style>
  <w:style w:type="paragraph" w:customStyle="1" w:styleId="144">
    <w:name w:val="标准文件_附录图标题"/>
    <w:next w:val="55"/>
    <w:qFormat/>
    <w:uiPriority w:val="0"/>
    <w:pPr>
      <w:numPr>
        <w:ilvl w:val="1"/>
        <w:numId w:val="21"/>
      </w:numPr>
      <w:adjustRightInd w:val="0"/>
      <w:snapToGrid w:val="0"/>
      <w:spacing w:before="50" w:beforeLines="50" w:after="50" w:afterLines="50"/>
      <w:ind w:firstLine="420"/>
      <w:jc w:val="center"/>
    </w:pPr>
    <w:rPr>
      <w:rFonts w:ascii="黑体" w:hAnsi="Times New Roman" w:eastAsia="黑体" w:cs="Times New Roman"/>
      <w:sz w:val="21"/>
      <w:lang w:val="en-US" w:eastAsia="zh-CN" w:bidi="ar-SA"/>
    </w:rPr>
  </w:style>
  <w:style w:type="paragraph" w:customStyle="1" w:styleId="145">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146">
    <w:name w:val="标准文件_正文英文图标题"/>
    <w:next w:val="55"/>
    <w:qFormat/>
    <w:uiPriority w:val="0"/>
    <w:pPr>
      <w:numPr>
        <w:ilvl w:val="0"/>
        <w:numId w:val="22"/>
      </w:numPr>
      <w:jc w:val="center"/>
    </w:pPr>
    <w:rPr>
      <w:rFonts w:ascii="黑体" w:hAnsi="Times New Roman" w:eastAsia="黑体" w:cs="Times New Roman"/>
      <w:sz w:val="21"/>
      <w:lang w:val="en-US" w:eastAsia="zh-CN" w:bidi="ar-SA"/>
    </w:rPr>
  </w:style>
  <w:style w:type="paragraph" w:customStyle="1" w:styleId="147">
    <w:name w:val="目录 51"/>
    <w:basedOn w:val="1"/>
    <w:next w:val="1"/>
    <w:semiHidden/>
    <w:qFormat/>
    <w:uiPriority w:val="0"/>
    <w:pPr>
      <w:spacing w:line="240" w:lineRule="auto"/>
    </w:pPr>
    <w:rPr>
      <w:rFonts w:ascii="宋体" w:hAnsi="宋体"/>
    </w:rPr>
  </w:style>
  <w:style w:type="paragraph" w:customStyle="1" w:styleId="148">
    <w:name w:val="标准文件_正文图标题"/>
    <w:next w:val="55"/>
    <w:qFormat/>
    <w:uiPriority w:val="0"/>
    <w:pPr>
      <w:numPr>
        <w:ilvl w:val="0"/>
        <w:numId w:val="23"/>
      </w:numPr>
      <w:spacing w:before="50" w:beforeLines="50" w:after="50" w:afterLines="50"/>
      <w:jc w:val="center"/>
    </w:pPr>
    <w:rPr>
      <w:rFonts w:ascii="黑体" w:hAnsi="Times New Roman" w:eastAsia="黑体" w:cs="Times New Roman"/>
      <w:sz w:val="21"/>
      <w:lang w:val="en-US" w:eastAsia="zh-CN" w:bidi="ar-SA"/>
    </w:rPr>
  </w:style>
  <w:style w:type="paragraph" w:customStyle="1" w:styleId="149">
    <w:name w:val="其他标准称谓"/>
    <w:qFormat/>
    <w:uiPriority w:val="0"/>
    <w:pPr>
      <w:spacing w:line="0" w:lineRule="atLeast"/>
      <w:jc w:val="distribute"/>
    </w:pPr>
    <w:rPr>
      <w:rFonts w:ascii="黑体" w:hAnsi="宋体" w:eastAsia="黑体" w:cs="Times New Roman"/>
      <w:sz w:val="52"/>
      <w:lang w:val="en-US" w:eastAsia="zh-CN" w:bidi="ar-SA"/>
    </w:rPr>
  </w:style>
  <w:style w:type="paragraph" w:customStyle="1" w:styleId="150">
    <w:name w:val="标准文件_标准名称标题"/>
    <w:basedOn w:val="1"/>
    <w:next w:val="1"/>
    <w:qFormat/>
    <w:uiPriority w:val="0"/>
    <w:pPr>
      <w:widowControl/>
      <w:shd w:val="clear" w:color="FFFFFF" w:fill="FFFFFF"/>
      <w:adjustRightInd/>
      <w:spacing w:before="640" w:after="100"/>
      <w:jc w:val="center"/>
    </w:pPr>
    <w:rPr>
      <w:rFonts w:ascii="黑体" w:eastAsia="黑体"/>
      <w:kern w:val="0"/>
      <w:sz w:val="32"/>
    </w:rPr>
  </w:style>
  <w:style w:type="paragraph" w:customStyle="1" w:styleId="151">
    <w:name w:val="标准文件_示例×："/>
    <w:basedOn w:val="1"/>
    <w:next w:val="115"/>
    <w:qFormat/>
    <w:uiPriority w:val="0"/>
    <w:pPr>
      <w:widowControl/>
      <w:numPr>
        <w:ilvl w:val="0"/>
        <w:numId w:val="24"/>
      </w:numPr>
      <w:adjustRightInd/>
      <w:spacing w:line="240" w:lineRule="auto"/>
    </w:pPr>
    <w:rPr>
      <w:rFonts w:ascii="宋体" w:hAnsi="Times New Roman"/>
      <w:kern w:val="0"/>
      <w:sz w:val="18"/>
      <w:szCs w:val="18"/>
    </w:rPr>
  </w:style>
  <w:style w:type="paragraph" w:customStyle="1" w:styleId="152">
    <w:name w:val="标准文件_术语条四"/>
    <w:basedOn w:val="153"/>
    <w:next w:val="55"/>
    <w:qFormat/>
    <w:uiPriority w:val="0"/>
    <w:rPr>
      <w:rFonts w:ascii="黑体" w:eastAsia="黑体" w:cs="黑体"/>
    </w:rPr>
  </w:style>
  <w:style w:type="paragraph" w:customStyle="1" w:styleId="153">
    <w:name w:val="标准文件_四级无标题"/>
    <w:basedOn w:val="66"/>
    <w:qFormat/>
    <w:uiPriority w:val="0"/>
    <w:pPr>
      <w:spacing w:before="0" w:beforeLines="0" w:after="0" w:afterLines="0"/>
      <w:outlineLvl w:val="9"/>
    </w:pPr>
    <w:rPr>
      <w:rFonts w:ascii="宋体" w:hAnsi="黑体" w:eastAsia="宋体"/>
      <w:szCs w:val="52"/>
    </w:rPr>
  </w:style>
  <w:style w:type="paragraph" w:customStyle="1" w:styleId="154">
    <w:name w:val="标准文件_标准代替"/>
    <w:basedOn w:val="1"/>
    <w:next w:val="1"/>
    <w:qFormat/>
    <w:uiPriority w:val="0"/>
    <w:pPr>
      <w:spacing w:line="310" w:lineRule="exact"/>
      <w:jc w:val="right"/>
    </w:pPr>
    <w:rPr>
      <w:rFonts w:ascii="宋体" w:hAnsi="宋体"/>
      <w:kern w:val="0"/>
    </w:rPr>
  </w:style>
  <w:style w:type="paragraph" w:customStyle="1" w:styleId="155">
    <w:name w:val="标准文件_封面标准编号"/>
    <w:basedOn w:val="1"/>
    <w:next w:val="154"/>
    <w:qFormat/>
    <w:uiPriority w:val="0"/>
    <w:pPr>
      <w:spacing w:line="310" w:lineRule="exact"/>
      <w:jc w:val="right"/>
    </w:pPr>
    <w:rPr>
      <w:rFonts w:ascii="黑体" w:eastAsia="黑体"/>
      <w:kern w:val="0"/>
      <w:sz w:val="28"/>
    </w:rPr>
  </w:style>
  <w:style w:type="paragraph" w:customStyle="1" w:styleId="156">
    <w:name w:val="标准文件_表格"/>
    <w:basedOn w:val="55"/>
    <w:qFormat/>
    <w:uiPriority w:val="0"/>
    <w:pPr>
      <w:ind w:firstLine="0" w:firstLineChars="0"/>
      <w:jc w:val="center"/>
    </w:pPr>
    <w:rPr>
      <w:sz w:val="18"/>
    </w:rPr>
  </w:style>
  <w:style w:type="paragraph" w:customStyle="1" w:styleId="157">
    <w:name w:val="标准文件_二级无标题"/>
    <w:basedOn w:val="121"/>
    <w:qFormat/>
    <w:uiPriority w:val="0"/>
    <w:pPr>
      <w:spacing w:before="0" w:beforeLines="0" w:after="0" w:afterLines="0"/>
      <w:outlineLvl w:val="9"/>
    </w:pPr>
    <w:rPr>
      <w:rFonts w:ascii="宋体" w:eastAsia="宋体"/>
    </w:rPr>
  </w:style>
  <w:style w:type="paragraph" w:customStyle="1" w:styleId="158">
    <w:name w:val="附录一级无标题条"/>
    <w:basedOn w:val="142"/>
    <w:next w:val="55"/>
    <w:qFormat/>
    <w:uiPriority w:val="0"/>
    <w:pPr>
      <w:autoSpaceDN w:val="0"/>
      <w:outlineLvl w:val="2"/>
    </w:pPr>
    <w:rPr>
      <w:rFonts w:ascii="宋体" w:hAnsi="宋体" w:eastAsia="宋体"/>
    </w:rPr>
  </w:style>
  <w:style w:type="paragraph" w:customStyle="1" w:styleId="159">
    <w:name w:val="列项·"/>
    <w:basedOn w:val="55"/>
    <w:qFormat/>
    <w:uiPriority w:val="0"/>
    <w:pPr>
      <w:tabs>
        <w:tab w:val="left" w:pos="840"/>
      </w:tabs>
    </w:pPr>
  </w:style>
  <w:style w:type="paragraph" w:customStyle="1" w:styleId="160">
    <w:name w:val="标准文件_引言标题"/>
    <w:next w:val="1"/>
    <w:qFormat/>
    <w:uiPriority w:val="0"/>
    <w:p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61">
    <w:name w:val="标准文件_引言三级无标题"/>
    <w:basedOn w:val="106"/>
    <w:qFormat/>
    <w:uiPriority w:val="0"/>
    <w:pPr>
      <w:spacing w:before="0" w:beforeLines="0" w:after="0" w:afterLines="0" w:line="276" w:lineRule="auto"/>
    </w:pPr>
    <w:rPr>
      <w:rFonts w:ascii="宋体" w:eastAsia="宋体"/>
    </w:rPr>
  </w:style>
  <w:style w:type="paragraph" w:customStyle="1" w:styleId="162">
    <w:name w:val="标准文件_ICS"/>
    <w:basedOn w:val="1"/>
    <w:qFormat/>
    <w:uiPriority w:val="0"/>
    <w:pPr>
      <w:spacing w:line="0" w:lineRule="atLeast"/>
    </w:pPr>
    <w:rPr>
      <w:rFonts w:ascii="黑体" w:hAnsi="宋体" w:eastAsia="黑体"/>
    </w:rPr>
  </w:style>
  <w:style w:type="paragraph" w:customStyle="1" w:styleId="163">
    <w:name w:val="标准文件_术语条二"/>
    <w:basedOn w:val="157"/>
    <w:next w:val="55"/>
    <w:qFormat/>
    <w:uiPriority w:val="0"/>
    <w:rPr>
      <w:rFonts w:ascii="黑体" w:hAnsi="黑体" w:eastAsia="黑体" w:cs="黑体"/>
    </w:rPr>
  </w:style>
  <w:style w:type="paragraph" w:customStyle="1" w:styleId="164">
    <w:name w:val="标准文件_页眉偶数页"/>
    <w:basedOn w:val="165"/>
    <w:next w:val="1"/>
    <w:qFormat/>
    <w:uiPriority w:val="0"/>
    <w:pPr>
      <w:tabs>
        <w:tab w:val="center" w:pos="4154"/>
        <w:tab w:val="right" w:pos="8306"/>
      </w:tabs>
      <w:jc w:val="left"/>
    </w:pPr>
  </w:style>
  <w:style w:type="paragraph" w:customStyle="1" w:styleId="165">
    <w:name w:val="标准文件_页眉奇数页"/>
    <w:next w:val="1"/>
    <w:qFormat/>
    <w:uiPriority w:val="0"/>
    <w:pPr>
      <w:tabs>
        <w:tab w:val="center" w:pos="4154"/>
        <w:tab w:val="right" w:pos="8306"/>
      </w:tabs>
      <w:spacing w:after="120"/>
      <w:jc w:val="right"/>
    </w:pPr>
    <w:rPr>
      <w:rFonts w:ascii="黑体" w:hAnsi="宋体" w:eastAsia="黑体" w:cs="Times New Roman"/>
      <w:sz w:val="21"/>
      <w:lang w:val="en-US" w:eastAsia="zh-CN" w:bidi="ar-SA"/>
    </w:rPr>
  </w:style>
  <w:style w:type="paragraph" w:customStyle="1" w:styleId="166">
    <w:name w:val="标准文件_文件名称"/>
    <w:basedOn w:val="55"/>
    <w:next w:val="55"/>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167">
    <w:name w:val="标准文件_参考文献条目"/>
    <w:qFormat/>
    <w:uiPriority w:val="0"/>
    <w:pPr>
      <w:numPr>
        <w:ilvl w:val="0"/>
        <w:numId w:val="25"/>
      </w:numPr>
    </w:pPr>
    <w:rPr>
      <w:rFonts w:ascii="宋体" w:hAnsi="Times New Roman" w:eastAsia="宋体" w:cs="Times New Roman"/>
      <w:lang w:val="en-US" w:eastAsia="zh-CN" w:bidi="ar-SA"/>
    </w:rPr>
  </w:style>
  <w:style w:type="paragraph" w:customStyle="1" w:styleId="168">
    <w:name w:val="标准文件_版本"/>
    <w:basedOn w:val="112"/>
    <w:qFormat/>
    <w:uiPriority w:val="0"/>
    <w:pPr>
      <w:adjustRightInd/>
      <w:snapToGrid/>
      <w:ind w:firstLine="0" w:firstLineChars="0"/>
    </w:pPr>
    <w:rPr>
      <w:rFonts w:ascii="宋体" w:hAnsi="宋体"/>
      <w:kern w:val="2"/>
    </w:rPr>
  </w:style>
  <w:style w:type="paragraph" w:customStyle="1" w:styleId="169">
    <w:name w:val="标准文件_封面标准名称"/>
    <w:basedOn w:val="1"/>
    <w:qFormat/>
    <w:uiPriority w:val="0"/>
    <w:pPr>
      <w:spacing w:line="240" w:lineRule="auto"/>
      <w:jc w:val="center"/>
    </w:pPr>
    <w:rPr>
      <w:rFonts w:ascii="黑体" w:eastAsia="黑体"/>
      <w:kern w:val="0"/>
      <w:sz w:val="52"/>
    </w:rPr>
  </w:style>
  <w:style w:type="paragraph" w:customStyle="1" w:styleId="170">
    <w:name w:val="前言标题"/>
    <w:next w:val="1"/>
    <w:qFormat/>
    <w:uiPriority w:val="0"/>
    <w:pPr>
      <w:numPr>
        <w:ilvl w:val="0"/>
        <w:numId w:val="2"/>
      </w:numPr>
      <w:shd w:val="clear" w:color="FFFFFF" w:fill="FFFFFF"/>
      <w:spacing w:before="540" w:after="600"/>
      <w:jc w:val="center"/>
      <w:outlineLvl w:val="0"/>
    </w:pPr>
    <w:rPr>
      <w:rFonts w:ascii="黑体" w:hAnsi="Times New Roman" w:eastAsia="黑体" w:cs="Times New Roman"/>
      <w:sz w:val="32"/>
      <w:lang w:val="en-US" w:eastAsia="zh-CN" w:bidi="ar-SA"/>
    </w:rPr>
  </w:style>
  <w:style w:type="paragraph" w:customStyle="1" w:styleId="171">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172">
    <w:name w:val="标准文件_示例后"/>
    <w:basedOn w:val="55"/>
    <w:qFormat/>
    <w:uiPriority w:val="0"/>
    <w:pPr>
      <w:ind w:left="964" w:firstLine="0" w:firstLineChars="0"/>
    </w:pPr>
    <w:rPr>
      <w:sz w:val="18"/>
    </w:rPr>
  </w:style>
  <w:style w:type="paragraph" w:customStyle="1" w:styleId="173">
    <w:name w:val="标准文件_编号列项（三级）"/>
    <w:qFormat/>
    <w:uiPriority w:val="0"/>
    <w:pPr>
      <w:numPr>
        <w:ilvl w:val="2"/>
        <w:numId w:val="19"/>
      </w:numPr>
    </w:pPr>
    <w:rPr>
      <w:rFonts w:ascii="宋体" w:hAnsi="Times New Roman" w:eastAsia="宋体" w:cs="Times New Roman"/>
      <w:sz w:val="21"/>
      <w:lang w:val="en-US" w:eastAsia="zh-CN" w:bidi="ar-SA"/>
    </w:rPr>
  </w:style>
  <w:style w:type="paragraph" w:customStyle="1" w:styleId="174">
    <w:name w:val="二级无标题条"/>
    <w:basedOn w:val="1"/>
    <w:qFormat/>
    <w:uiPriority w:val="0"/>
    <w:pPr>
      <w:numPr>
        <w:ilvl w:val="3"/>
        <w:numId w:val="15"/>
      </w:numPr>
      <w:adjustRightInd/>
      <w:spacing w:line="240" w:lineRule="auto"/>
    </w:pPr>
    <w:rPr>
      <w:rFonts w:ascii="宋体" w:hAnsi="宋体"/>
      <w:szCs w:val="24"/>
    </w:rPr>
  </w:style>
  <w:style w:type="paragraph" w:customStyle="1" w:styleId="175">
    <w:name w:val="标准文件_附录前"/>
    <w:next w:val="55"/>
    <w:qFormat/>
    <w:uiPriority w:val="0"/>
    <w:pPr>
      <w:spacing w:line="20" w:lineRule="atLeast"/>
      <w:ind w:firstLine="200"/>
    </w:pPr>
    <w:rPr>
      <w:rFonts w:ascii="宋体" w:hAnsi="宋体" w:eastAsia="宋体" w:cs="Times New Roman"/>
      <w:kern w:val="2"/>
      <w:sz w:val="10"/>
      <w:lang w:val="en-US" w:eastAsia="zh-CN" w:bidi="ar-SA"/>
    </w:rPr>
  </w:style>
  <w:style w:type="paragraph" w:customStyle="1" w:styleId="176">
    <w:name w:val="其他发布日期"/>
    <w:basedOn w:val="75"/>
    <w:qFormat/>
    <w:uiPriority w:val="0"/>
    <w:pPr>
      <w:framePr w:w="3997" w:h="471" w:hRule="exact" w:hSpace="0" w:vSpace="181" w:wrap="around" w:vAnchor="page" w:hAnchor="page" w:x="1419" w:y="14097"/>
    </w:pPr>
  </w:style>
  <w:style w:type="paragraph" w:customStyle="1" w:styleId="177">
    <w:name w:val="标准文件_示例："/>
    <w:next w:val="115"/>
    <w:qFormat/>
    <w:uiPriority w:val="0"/>
    <w:pPr>
      <w:widowControl w:val="0"/>
      <w:numPr>
        <w:ilvl w:val="0"/>
        <w:numId w:val="26"/>
      </w:numPr>
      <w:jc w:val="both"/>
    </w:pPr>
    <w:rPr>
      <w:rFonts w:ascii="宋体" w:hAnsi="Times New Roman" w:eastAsia="宋体" w:cs="Times New Roman"/>
      <w:sz w:val="18"/>
      <w:szCs w:val="18"/>
      <w:lang w:val="en-US" w:eastAsia="zh-CN" w:bidi="ar-SA"/>
    </w:rPr>
  </w:style>
  <w:style w:type="paragraph" w:customStyle="1" w:styleId="178">
    <w:name w:val="标准文件_五级条标题"/>
    <w:next w:val="55"/>
    <w:qFormat/>
    <w:uiPriority w:val="0"/>
    <w:pPr>
      <w:widowControl w:val="0"/>
      <w:numPr>
        <w:ilvl w:val="6"/>
        <w:numId w:val="2"/>
      </w:numPr>
      <w:spacing w:before="50" w:beforeLines="50" w:after="50" w:afterLines="50"/>
      <w:jc w:val="both"/>
      <w:outlineLvl w:val="5"/>
    </w:pPr>
    <w:rPr>
      <w:rFonts w:ascii="黑体" w:hAnsi="Times New Roman" w:eastAsia="黑体" w:cs="Times New Roman"/>
      <w:sz w:val="21"/>
      <w:lang w:val="en-US" w:eastAsia="zh-CN" w:bidi="ar-SA"/>
    </w:rPr>
  </w:style>
  <w:style w:type="paragraph" w:customStyle="1" w:styleId="179">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180">
    <w:name w:val="标准文件_替换文件编号"/>
    <w:basedOn w:val="143"/>
    <w:qFormat/>
    <w:uiPriority w:val="0"/>
    <w:pPr>
      <w:framePr w:wrap="around"/>
      <w:spacing w:before="57"/>
    </w:pPr>
    <w:rPr>
      <w:sz w:val="21"/>
    </w:rPr>
  </w:style>
  <w:style w:type="paragraph" w:customStyle="1" w:styleId="181">
    <w:name w:val="标准文件_目录标题"/>
    <w:basedOn w:val="1"/>
    <w:qFormat/>
    <w:uiPriority w:val="0"/>
    <w:pPr>
      <w:spacing w:before="480" w:after="150" w:afterLines="150" w:line="240" w:lineRule="auto"/>
      <w:jc w:val="center"/>
    </w:pPr>
    <w:rPr>
      <w:rFonts w:ascii="黑体" w:hAnsi="黑体" w:eastAsia="黑体"/>
      <w:sz w:val="32"/>
    </w:rPr>
  </w:style>
  <w:style w:type="paragraph" w:customStyle="1" w:styleId="182">
    <w:name w:val="标准文件_方框数字列项"/>
    <w:basedOn w:val="55"/>
    <w:qFormat/>
    <w:uiPriority w:val="0"/>
    <w:pPr>
      <w:numPr>
        <w:ilvl w:val="0"/>
        <w:numId w:val="27"/>
      </w:numPr>
      <w:ind w:firstLine="0" w:firstLineChars="0"/>
    </w:pPr>
  </w:style>
  <w:style w:type="paragraph" w:customStyle="1" w:styleId="183">
    <w:name w:val="三级无标题条"/>
    <w:basedOn w:val="1"/>
    <w:qFormat/>
    <w:uiPriority w:val="0"/>
    <w:pPr>
      <w:numPr>
        <w:ilvl w:val="4"/>
        <w:numId w:val="15"/>
      </w:numPr>
      <w:adjustRightInd/>
      <w:spacing w:line="240" w:lineRule="auto"/>
    </w:pPr>
    <w:rPr>
      <w:rFonts w:ascii="宋体" w:hAnsi="宋体"/>
      <w:szCs w:val="24"/>
    </w:rPr>
  </w:style>
  <w:style w:type="paragraph" w:customStyle="1" w:styleId="184">
    <w:name w:val="标准文件_术语条五"/>
    <w:basedOn w:val="185"/>
    <w:next w:val="55"/>
    <w:qFormat/>
    <w:uiPriority w:val="0"/>
    <w:rPr>
      <w:rFonts w:ascii="黑体" w:hAnsi="黑体" w:eastAsia="黑体" w:cs="黑体"/>
    </w:rPr>
  </w:style>
  <w:style w:type="paragraph" w:customStyle="1" w:styleId="185">
    <w:name w:val="标准文件_五级无标题"/>
    <w:basedOn w:val="178"/>
    <w:qFormat/>
    <w:uiPriority w:val="0"/>
    <w:pPr>
      <w:spacing w:before="0" w:beforeLines="0" w:after="0" w:afterLines="0"/>
      <w:outlineLvl w:val="9"/>
    </w:pPr>
    <w:rPr>
      <w:rFonts w:ascii="宋体" w:eastAsia="宋体"/>
    </w:rPr>
  </w:style>
  <w:style w:type="paragraph" w:customStyle="1" w:styleId="186">
    <w:name w:val="标准文件_脚注内容"/>
    <w:basedOn w:val="55"/>
    <w:qFormat/>
    <w:uiPriority w:val="0"/>
    <w:pPr>
      <w:ind w:left="400" w:leftChars="200" w:hanging="200" w:hangingChars="200"/>
    </w:pPr>
    <w:rPr>
      <w:sz w:val="15"/>
    </w:rPr>
  </w:style>
  <w:style w:type="paragraph" w:customStyle="1" w:styleId="187">
    <w:name w:val="脚注后续"/>
    <w:qFormat/>
    <w:uiPriority w:val="0"/>
    <w:pPr>
      <w:ind w:left="350" w:leftChars="350"/>
      <w:jc w:val="both"/>
    </w:pPr>
    <w:rPr>
      <w:rFonts w:ascii="宋体" w:hAnsi="Times New Roman" w:eastAsia="宋体" w:cs="Times New Roman"/>
      <w:sz w:val="18"/>
      <w:lang w:val="en-US" w:eastAsia="zh-CN" w:bidi="ar-SA"/>
    </w:rPr>
  </w:style>
  <w:style w:type="paragraph" w:customStyle="1" w:styleId="188">
    <w:name w:val="标准文件_索引标题"/>
    <w:basedOn w:val="189"/>
    <w:next w:val="55"/>
    <w:qFormat/>
    <w:uiPriority w:val="0"/>
  </w:style>
  <w:style w:type="paragraph" w:customStyle="1" w:styleId="189">
    <w:name w:val="标准文件_参考文献标题"/>
    <w:basedOn w:val="1"/>
    <w:next w:val="1"/>
    <w:qFormat/>
    <w:uiPriority w:val="0"/>
    <w:pPr>
      <w:widowControl/>
      <w:shd w:val="clear" w:color="FFFFFF" w:fill="FFFFFF"/>
      <w:adjustRightInd/>
      <w:spacing w:before="560" w:after="50" w:afterLines="50" w:line="240" w:lineRule="auto"/>
      <w:jc w:val="center"/>
      <w:outlineLvl w:val="0"/>
    </w:pPr>
    <w:rPr>
      <w:rFonts w:ascii="黑体" w:hAnsi="黑体" w:eastAsia="黑体"/>
      <w:kern w:val="0"/>
    </w:rPr>
  </w:style>
  <w:style w:type="paragraph" w:customStyle="1" w:styleId="190">
    <w:name w:val="标准文件_英文图表脚注"/>
    <w:basedOn w:val="112"/>
    <w:qFormat/>
    <w:uiPriority w:val="0"/>
    <w:pPr>
      <w:widowControl/>
      <w:adjustRightInd/>
      <w:snapToGrid/>
      <w:spacing w:line="240" w:lineRule="auto"/>
      <w:ind w:left="79" w:hanging="79" w:hangingChars="80"/>
    </w:pPr>
    <w:rPr>
      <w:rFonts w:ascii="宋体" w:hAnsi="宋体"/>
    </w:rPr>
  </w:style>
  <w:style w:type="paragraph" w:customStyle="1" w:styleId="191">
    <w:name w:val="封面正文"/>
    <w:qFormat/>
    <w:uiPriority w:val="0"/>
    <w:pPr>
      <w:jc w:val="both"/>
    </w:pPr>
    <w:rPr>
      <w:rFonts w:ascii="Times New Roman" w:hAnsi="Times New Roman" w:eastAsia="宋体" w:cs="Times New Roman"/>
      <w:lang w:val="en-US" w:eastAsia="zh-CN" w:bidi="ar-SA"/>
    </w:rPr>
  </w:style>
  <w:style w:type="paragraph" w:customStyle="1" w:styleId="192">
    <w:name w:val="标准文件_注："/>
    <w:next w:val="55"/>
    <w:qFormat/>
    <w:uiPriority w:val="0"/>
    <w:pPr>
      <w:widowControl w:val="0"/>
      <w:numPr>
        <w:ilvl w:val="0"/>
        <w:numId w:val="28"/>
      </w:numPr>
      <w:autoSpaceDE w:val="0"/>
      <w:autoSpaceDN w:val="0"/>
      <w:jc w:val="both"/>
    </w:pPr>
    <w:rPr>
      <w:rFonts w:ascii="宋体" w:hAnsi="Times New Roman" w:eastAsia="宋体" w:cs="Times New Roman"/>
      <w:sz w:val="18"/>
      <w:szCs w:val="18"/>
      <w:lang w:val="en-US" w:eastAsia="zh-CN" w:bidi="ar-SA"/>
    </w:rPr>
  </w:style>
  <w:style w:type="paragraph" w:customStyle="1" w:styleId="193">
    <w:name w:val="标准文件_英文注："/>
    <w:basedOn w:val="1"/>
    <w:next w:val="55"/>
    <w:qFormat/>
    <w:uiPriority w:val="0"/>
    <w:pPr>
      <w:numPr>
        <w:ilvl w:val="0"/>
        <w:numId w:val="29"/>
      </w:numPr>
      <w:tabs>
        <w:tab w:val="left" w:pos="420"/>
      </w:tabs>
      <w:autoSpaceDE w:val="0"/>
      <w:autoSpaceDN w:val="0"/>
      <w:spacing w:line="240" w:lineRule="auto"/>
    </w:pPr>
    <w:rPr>
      <w:rFonts w:ascii="宋体" w:hAnsi="宋体"/>
      <w:kern w:val="0"/>
      <w:sz w:val="18"/>
      <w:szCs w:val="20"/>
    </w:rPr>
  </w:style>
  <w:style w:type="paragraph" w:customStyle="1" w:styleId="194">
    <w:name w:val="标准标志"/>
    <w:next w:val="1"/>
    <w:qFormat/>
    <w:uiPriority w:val="0"/>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195">
    <w:name w:val="标准文件_封面实施日期"/>
    <w:basedOn w:val="1"/>
    <w:qFormat/>
    <w:uiPriority w:val="0"/>
    <w:pPr>
      <w:spacing w:line="310" w:lineRule="exact"/>
      <w:jc w:val="right"/>
    </w:pPr>
    <w:rPr>
      <w:rFonts w:ascii="黑体" w:eastAsia="黑体"/>
      <w:sz w:val="28"/>
    </w:rPr>
  </w:style>
  <w:style w:type="paragraph" w:customStyle="1" w:styleId="196">
    <w:name w:val="标准文件_术语条一"/>
    <w:basedOn w:val="129"/>
    <w:next w:val="55"/>
    <w:qFormat/>
    <w:uiPriority w:val="0"/>
    <w:rPr>
      <w:rFonts w:ascii="黑体" w:hAnsi="黑体" w:eastAsia="黑体" w:cs="黑体"/>
    </w:rPr>
  </w:style>
  <w:style w:type="paragraph" w:customStyle="1" w:styleId="197">
    <w:name w:val="目次、索引正文"/>
    <w:qFormat/>
    <w:uiPriority w:val="0"/>
    <w:pPr>
      <w:spacing w:line="320" w:lineRule="exact"/>
      <w:jc w:val="both"/>
    </w:pPr>
    <w:rPr>
      <w:rFonts w:ascii="宋体" w:hAnsi="Times New Roman" w:eastAsia="宋体" w:cs="Times New Roman"/>
      <w:sz w:val="21"/>
      <w:lang w:val="en-US" w:eastAsia="zh-CN" w:bidi="ar-SA"/>
    </w:rPr>
  </w:style>
  <w:style w:type="paragraph" w:customStyle="1" w:styleId="198">
    <w:name w:val="标准文件_注后"/>
    <w:basedOn w:val="55"/>
    <w:qFormat/>
    <w:uiPriority w:val="0"/>
    <w:pPr>
      <w:ind w:left="811" w:firstLine="0" w:firstLineChars="0"/>
    </w:pPr>
    <w:rPr>
      <w:sz w:val="18"/>
    </w:rPr>
  </w:style>
  <w:style w:type="paragraph" w:customStyle="1" w:styleId="199">
    <w:name w:val="标准文件_附录四级无标题"/>
    <w:basedOn w:val="200"/>
    <w:qFormat/>
    <w:uiPriority w:val="0"/>
    <w:pPr>
      <w:spacing w:before="0" w:beforeLines="0" w:after="0" w:afterLines="0" w:line="276" w:lineRule="auto"/>
      <w:outlineLvl w:val="9"/>
    </w:pPr>
    <w:rPr>
      <w:rFonts w:ascii="宋体" w:eastAsia="宋体"/>
    </w:rPr>
  </w:style>
  <w:style w:type="paragraph" w:customStyle="1" w:styleId="200">
    <w:name w:val="标准文件_附录四级条标题"/>
    <w:next w:val="55"/>
    <w:qFormat/>
    <w:uiPriority w:val="0"/>
    <w:pPr>
      <w:widowControl w:val="0"/>
      <w:numPr>
        <w:ilvl w:val="4"/>
        <w:numId w:val="5"/>
      </w:numPr>
      <w:spacing w:before="50" w:beforeLines="50" w:after="50" w:afterLines="50"/>
      <w:jc w:val="both"/>
      <w:outlineLvl w:val="5"/>
    </w:pPr>
    <w:rPr>
      <w:rFonts w:ascii="黑体" w:hAnsi="Times New Roman" w:eastAsia="黑体" w:cs="Times New Roman"/>
      <w:kern w:val="21"/>
      <w:sz w:val="21"/>
      <w:lang w:val="en-US" w:eastAsia="zh-CN" w:bidi="ar-SA"/>
    </w:rPr>
  </w:style>
  <w:style w:type="paragraph" w:customStyle="1" w:styleId="201">
    <w:name w:val="封面标准文稿类别"/>
    <w:qFormat/>
    <w:uiPriority w:val="0"/>
    <w:pPr>
      <w:spacing w:before="440" w:line="400" w:lineRule="exact"/>
      <w:jc w:val="center"/>
    </w:pPr>
    <w:rPr>
      <w:rFonts w:ascii="宋体" w:hAnsi="Times New Roman" w:eastAsia="宋体" w:cs="Times New Roman"/>
      <w:sz w:val="24"/>
      <w:lang w:val="en-US" w:eastAsia="zh-CN" w:bidi="ar-SA"/>
    </w:rPr>
  </w:style>
  <w:style w:type="paragraph" w:customStyle="1" w:styleId="202">
    <w:name w:val="无标题条"/>
    <w:next w:val="55"/>
    <w:qFormat/>
    <w:uiPriority w:val="0"/>
    <w:pPr>
      <w:jc w:val="both"/>
    </w:pPr>
    <w:rPr>
      <w:rFonts w:ascii="宋体" w:hAnsi="宋体" w:eastAsia="宋体" w:cs="Times New Roman"/>
      <w:sz w:val="21"/>
      <w:lang w:val="en-US" w:eastAsia="zh-CN" w:bidi="ar-SA"/>
    </w:rPr>
  </w:style>
  <w:style w:type="paragraph" w:customStyle="1" w:styleId="203">
    <w:name w:val="标准文件_附录三级无标题"/>
    <w:basedOn w:val="204"/>
    <w:qFormat/>
    <w:uiPriority w:val="0"/>
    <w:pPr>
      <w:spacing w:before="0" w:beforeLines="0" w:after="0" w:afterLines="0" w:line="276" w:lineRule="auto"/>
      <w:outlineLvl w:val="9"/>
    </w:pPr>
    <w:rPr>
      <w:rFonts w:ascii="宋体" w:eastAsia="宋体"/>
    </w:rPr>
  </w:style>
  <w:style w:type="paragraph" w:customStyle="1" w:styleId="204">
    <w:name w:val="标准文件_附录三级条标题"/>
    <w:next w:val="55"/>
    <w:qFormat/>
    <w:uiPriority w:val="0"/>
    <w:pPr>
      <w:widowControl w:val="0"/>
      <w:numPr>
        <w:ilvl w:val="3"/>
        <w:numId w:val="5"/>
      </w:numPr>
      <w:spacing w:before="50" w:beforeLines="50" w:after="50" w:afterLines="50"/>
      <w:jc w:val="both"/>
      <w:outlineLvl w:val="4"/>
    </w:pPr>
    <w:rPr>
      <w:rFonts w:ascii="黑体" w:hAnsi="Times New Roman" w:eastAsia="黑体" w:cs="Times New Roman"/>
      <w:kern w:val="21"/>
      <w:sz w:val="21"/>
      <w:lang w:val="en-US" w:eastAsia="zh-CN" w:bidi="ar-SA"/>
    </w:rPr>
  </w:style>
  <w:style w:type="paragraph" w:customStyle="1" w:styleId="205">
    <w:name w:val="标准文件_引言五级无标题"/>
    <w:basedOn w:val="130"/>
    <w:next w:val="55"/>
    <w:qFormat/>
    <w:uiPriority w:val="0"/>
    <w:pPr>
      <w:spacing w:before="0" w:beforeLines="0" w:after="0" w:afterLines="0" w:line="276" w:lineRule="auto"/>
    </w:pPr>
    <w:rPr>
      <w:rFonts w:ascii="宋体" w:eastAsia="宋体"/>
    </w:rPr>
  </w:style>
  <w:style w:type="paragraph" w:customStyle="1" w:styleId="206">
    <w:name w:val="附录五级无标题条"/>
    <w:basedOn w:val="102"/>
    <w:next w:val="55"/>
    <w:qFormat/>
    <w:uiPriority w:val="0"/>
    <w:pPr>
      <w:outlineLvl w:val="6"/>
    </w:pPr>
  </w:style>
  <w:style w:type="paragraph" w:customStyle="1" w:styleId="207">
    <w:name w:val="标准文件_条文脚注"/>
    <w:basedOn w:val="22"/>
    <w:qFormat/>
    <w:uiPriority w:val="0"/>
    <w:pPr>
      <w:adjustRightInd w:val="0"/>
      <w:spacing w:line="240" w:lineRule="auto"/>
      <w:ind w:left="0" w:leftChars="0" w:firstLine="200" w:firstLineChars="200"/>
      <w:jc w:val="both"/>
    </w:pPr>
    <w:rPr>
      <w:rFonts w:hAnsi="宋体"/>
    </w:rPr>
  </w:style>
  <w:style w:type="paragraph" w:customStyle="1" w:styleId="208">
    <w:name w:val="标准文件_二级项"/>
    <w:qFormat/>
    <w:uiPriority w:val="0"/>
    <w:rPr>
      <w:rFonts w:ascii="宋体" w:hAnsi="Times New Roman" w:eastAsia="宋体" w:cs="Times New Roman"/>
      <w:sz w:val="21"/>
      <w:lang w:val="en-US" w:eastAsia="zh-CN" w:bidi="ar-SA"/>
    </w:rPr>
  </w:style>
  <w:style w:type="paragraph" w:customStyle="1" w:styleId="209">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lang w:val="en-US" w:eastAsia="zh-CN" w:bidi="ar-SA"/>
    </w:rPr>
  </w:style>
  <w:style w:type="paragraph" w:customStyle="1" w:styleId="210">
    <w:name w:val="封面标准文稿编辑信息"/>
    <w:qFormat/>
    <w:uiPriority w:val="0"/>
    <w:pPr>
      <w:spacing w:before="180" w:line="180" w:lineRule="exact"/>
      <w:jc w:val="center"/>
    </w:pPr>
    <w:rPr>
      <w:rFonts w:ascii="宋体" w:hAnsi="Times New Roman" w:eastAsia="宋体" w:cs="Times New Roman"/>
      <w:sz w:val="21"/>
      <w:lang w:val="en-US" w:eastAsia="zh-CN" w:bidi="ar-SA"/>
    </w:rPr>
  </w:style>
  <w:style w:type="paragraph" w:customStyle="1" w:styleId="211">
    <w:name w:val="标准文件_封面发布日期"/>
    <w:basedOn w:val="1"/>
    <w:qFormat/>
    <w:uiPriority w:val="0"/>
    <w:pPr>
      <w:spacing w:line="310" w:lineRule="exact"/>
    </w:pPr>
    <w:rPr>
      <w:rFonts w:ascii="黑体" w:eastAsia="黑体"/>
      <w:kern w:val="0"/>
      <w:sz w:val="28"/>
    </w:rPr>
  </w:style>
  <w:style w:type="paragraph" w:customStyle="1" w:styleId="212">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213">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214">
    <w:name w:val="标准文件_二级项2"/>
    <w:basedOn w:val="55"/>
    <w:qFormat/>
    <w:uiPriority w:val="0"/>
    <w:pPr>
      <w:numPr>
        <w:ilvl w:val="1"/>
        <w:numId w:val="17"/>
      </w:numPr>
      <w:ind w:left="1271" w:hanging="420" w:firstLineChars="0"/>
    </w:pPr>
  </w:style>
  <w:style w:type="paragraph" w:customStyle="1" w:styleId="215">
    <w:name w:val="标准文件_附录图标号"/>
    <w:basedOn w:val="55"/>
    <w:next w:val="55"/>
    <w:qFormat/>
    <w:uiPriority w:val="0"/>
    <w:pPr>
      <w:numPr>
        <w:ilvl w:val="0"/>
        <w:numId w:val="21"/>
      </w:numPr>
      <w:spacing w:line="14" w:lineRule="exact"/>
      <w:ind w:firstLine="0" w:firstLineChars="0"/>
      <w:jc w:val="center"/>
    </w:pPr>
    <w:rPr>
      <w:rFonts w:ascii="黑体" w:hAnsi="黑体" w:eastAsia="黑体"/>
      <w:vanish/>
      <w:sz w:val="2"/>
      <w:szCs w:val="21"/>
    </w:rPr>
  </w:style>
  <w:style w:type="paragraph" w:customStyle="1" w:styleId="216">
    <w:name w:val="标准文件_图表说明"/>
    <w:qFormat/>
    <w:uiPriority w:val="0"/>
    <w:pPr>
      <w:spacing w:line="276" w:lineRule="auto"/>
      <w:ind w:firstLine="420"/>
    </w:pPr>
    <w:rPr>
      <w:rFonts w:ascii="宋体" w:hAnsi="宋体" w:eastAsia="宋体" w:cs="Times New Roman"/>
      <w:kern w:val="2"/>
      <w:sz w:val="18"/>
      <w:lang w:val="en-US" w:eastAsia="zh-CN" w:bidi="ar-SA"/>
    </w:rPr>
  </w:style>
  <w:style w:type="paragraph" w:customStyle="1" w:styleId="217">
    <w:name w:val="标准文件_索引字母"/>
    <w:next w:val="55"/>
    <w:qFormat/>
    <w:uiPriority w:val="0"/>
    <w:pPr>
      <w:jc w:val="center"/>
    </w:pPr>
    <w:rPr>
      <w:rFonts w:ascii="宋体" w:hAnsi="宋体" w:eastAsia="Times New Roman" w:cs="Times New Roman"/>
      <w:b/>
      <w:kern w:val="2"/>
      <w:sz w:val="21"/>
      <w:lang w:val="en-US" w:eastAsia="zh-CN" w:bidi="ar-SA"/>
    </w:rPr>
  </w:style>
  <w:style w:type="paragraph" w:customStyle="1" w:styleId="218">
    <w:name w:val="标准文件_附录公式"/>
    <w:basedOn w:val="112"/>
    <w:next w:val="112"/>
    <w:qFormat/>
    <w:uiPriority w:val="0"/>
    <w:pPr>
      <w:tabs>
        <w:tab w:val="center" w:pos="4678"/>
        <w:tab w:val="right" w:leader="middleDot" w:pos="9356"/>
      </w:tabs>
      <w:spacing w:line="240" w:lineRule="auto"/>
      <w:ind w:right="-51" w:firstLine="0" w:firstLineChars="0"/>
    </w:pPr>
    <w:rPr>
      <w:rFonts w:ascii="宋体" w:hAnsi="宋体"/>
    </w:rPr>
  </w:style>
  <w:style w:type="paragraph" w:customStyle="1" w:styleId="219">
    <w:name w:val="标准文件_附录五级无标题"/>
    <w:basedOn w:val="220"/>
    <w:qFormat/>
    <w:uiPriority w:val="0"/>
    <w:pPr>
      <w:spacing w:before="0" w:beforeLines="0" w:after="0" w:afterLines="0" w:line="276" w:lineRule="auto"/>
      <w:outlineLvl w:val="9"/>
    </w:pPr>
    <w:rPr>
      <w:rFonts w:ascii="宋体" w:eastAsia="宋体"/>
    </w:rPr>
  </w:style>
  <w:style w:type="paragraph" w:customStyle="1" w:styleId="220">
    <w:name w:val="标准文件_附录五级条标题"/>
    <w:next w:val="55"/>
    <w:qFormat/>
    <w:uiPriority w:val="0"/>
    <w:pPr>
      <w:widowControl w:val="0"/>
      <w:numPr>
        <w:ilvl w:val="5"/>
        <w:numId w:val="5"/>
      </w:numPr>
      <w:spacing w:before="50" w:beforeLines="50" w:after="50" w:afterLines="50"/>
      <w:jc w:val="both"/>
      <w:outlineLvl w:val="6"/>
    </w:pPr>
    <w:rPr>
      <w:rFonts w:ascii="黑体" w:hAnsi="Times New Roman" w:eastAsia="黑体" w:cs="Times New Roman"/>
      <w:kern w:val="21"/>
      <w:sz w:val="21"/>
      <w:lang w:val="en-US" w:eastAsia="zh-CN" w:bidi="ar-SA"/>
    </w:rPr>
  </w:style>
  <w:style w:type="paragraph" w:customStyle="1" w:styleId="221">
    <w:name w:val="标准文件_封面标准英文名称"/>
    <w:basedOn w:val="1"/>
    <w:qFormat/>
    <w:uiPriority w:val="0"/>
    <w:pPr>
      <w:spacing w:line="240" w:lineRule="auto"/>
      <w:jc w:val="center"/>
    </w:pPr>
    <w:rPr>
      <w:rFonts w:ascii="黑体" w:eastAsia="黑体"/>
      <w:b/>
      <w:sz w:val="28"/>
    </w:rPr>
  </w:style>
  <w:style w:type="paragraph" w:customStyle="1" w:styleId="222">
    <w:name w:val="标准文件_正文表标题"/>
    <w:next w:val="55"/>
    <w:qFormat/>
    <w:uiPriority w:val="0"/>
    <w:pPr>
      <w:numPr>
        <w:ilvl w:val="0"/>
        <w:numId w:val="30"/>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223">
    <w:name w:val="标准文件_页脚偶数页"/>
    <w:qFormat/>
    <w:uiPriority w:val="0"/>
    <w:pPr>
      <w:ind w:left="198"/>
    </w:pPr>
    <w:rPr>
      <w:rFonts w:ascii="宋体" w:hAnsi="Times New Roman" w:eastAsia="宋体" w:cs="Times New Roman"/>
      <w:sz w:val="18"/>
      <w:lang w:val="en-US" w:eastAsia="zh-CN" w:bidi="ar-SA"/>
    </w:rPr>
  </w:style>
  <w:style w:type="paragraph" w:customStyle="1" w:styleId="224">
    <w:name w:val="标准文件_英文注×："/>
    <w:basedOn w:val="1"/>
    <w:qFormat/>
    <w:uiPriority w:val="0"/>
    <w:pPr>
      <w:numPr>
        <w:ilvl w:val="0"/>
        <w:numId w:val="31"/>
      </w:numPr>
      <w:tabs>
        <w:tab w:val="left" w:pos="210"/>
      </w:tabs>
      <w:autoSpaceDE w:val="0"/>
      <w:autoSpaceDN w:val="0"/>
      <w:spacing w:line="240" w:lineRule="auto"/>
    </w:pPr>
    <w:rPr>
      <w:rFonts w:ascii="宋体" w:hAnsi="宋体"/>
      <w:kern w:val="0"/>
      <w:szCs w:val="20"/>
    </w:rPr>
  </w:style>
  <w:style w:type="paragraph" w:customStyle="1" w:styleId="225">
    <w:name w:val="标准文件_表格续"/>
    <w:basedOn w:val="55"/>
    <w:next w:val="55"/>
    <w:qFormat/>
    <w:uiPriority w:val="0"/>
    <w:pPr>
      <w:jc w:val="center"/>
    </w:pPr>
    <w:rPr>
      <w:rFonts w:ascii="黑体" w:hAnsi="黑体" w:eastAsia="黑体"/>
    </w:rPr>
  </w:style>
  <w:style w:type="paragraph" w:customStyle="1" w:styleId="226">
    <w:name w:val="目录 41"/>
    <w:basedOn w:val="1"/>
    <w:next w:val="1"/>
    <w:semiHidden/>
    <w:qFormat/>
    <w:uiPriority w:val="0"/>
    <w:pPr>
      <w:adjustRightInd/>
      <w:spacing w:line="240" w:lineRule="auto"/>
      <w:jc w:val="left"/>
    </w:pPr>
  </w:style>
  <w:style w:type="paragraph" w:customStyle="1" w:styleId="227">
    <w:name w:val="图表脚注说明"/>
    <w:basedOn w:val="1"/>
    <w:next w:val="55"/>
    <w:qFormat/>
    <w:uiPriority w:val="0"/>
    <w:pPr>
      <w:numPr>
        <w:ilvl w:val="0"/>
        <w:numId w:val="32"/>
      </w:numPr>
      <w:adjustRightInd/>
      <w:spacing w:line="240" w:lineRule="auto"/>
      <w:ind w:left="783"/>
    </w:pPr>
    <w:rPr>
      <w:rFonts w:ascii="宋体" w:hAnsi="Times New Roman"/>
      <w:sz w:val="18"/>
      <w:szCs w:val="18"/>
    </w:rPr>
  </w:style>
  <w:style w:type="paragraph" w:customStyle="1" w:styleId="228">
    <w:name w:val="标准文件_数字编号列项（二级）"/>
    <w:qFormat/>
    <w:uiPriority w:val="0"/>
    <w:pPr>
      <w:numPr>
        <w:ilvl w:val="1"/>
        <w:numId w:val="19"/>
      </w:numPr>
      <w:jc w:val="both"/>
    </w:pPr>
    <w:rPr>
      <w:rFonts w:ascii="宋体" w:hAnsi="Times New Roman" w:eastAsia="宋体" w:cs="Times New Roman"/>
      <w:sz w:val="21"/>
      <w:lang w:val="en-US" w:eastAsia="zh-CN" w:bidi="ar-SA"/>
    </w:rPr>
  </w:style>
  <w:style w:type="paragraph" w:customStyle="1" w:styleId="229">
    <w:name w:val="标准文件_引言一级无标题"/>
    <w:basedOn w:val="86"/>
    <w:next w:val="55"/>
    <w:qFormat/>
    <w:uiPriority w:val="0"/>
    <w:pPr>
      <w:spacing w:before="0" w:beforeLines="0" w:after="0" w:afterLines="0" w:line="276" w:lineRule="auto"/>
    </w:pPr>
    <w:rPr>
      <w:rFonts w:ascii="宋体" w:eastAsia="宋体"/>
    </w:rPr>
  </w:style>
  <w:style w:type="paragraph" w:customStyle="1" w:styleId="230">
    <w:name w:val="修订1"/>
    <w:hidden/>
    <w:unhideWhenUsed/>
    <w:qFormat/>
    <w:uiPriority w:val="99"/>
    <w:rPr>
      <w:rFonts w:ascii="Calibri" w:hAnsi="Calibri" w:eastAsia="宋体" w:cs="Times New Roman"/>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image" Target="media/image4.png"/><Relationship Id="rId20" Type="http://schemas.openxmlformats.org/officeDocument/2006/relationships/image" Target="media/image3.png"/><Relationship Id="rId2" Type="http://schemas.openxmlformats.org/officeDocument/2006/relationships/settings" Target="settings.xml"/><Relationship Id="rId19" Type="http://schemas.openxmlformats.org/officeDocument/2006/relationships/image" Target="media/image2.png"/><Relationship Id="rId18" Type="http://schemas.openxmlformats.org/officeDocument/2006/relationships/image" Target="media/image1.tiff"/><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footer" Target="footer6.xml"/><Relationship Id="rId14" Type="http://schemas.openxmlformats.org/officeDocument/2006/relationships/footer" Target="footer5.xml"/><Relationship Id="rId13" Type="http://schemas.openxmlformats.org/officeDocument/2006/relationships/footer" Target="footer4.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87</Pages>
  <Words>8388</Words>
  <Characters>47815</Characters>
  <Lines>398</Lines>
  <Paragraphs>112</Paragraphs>
  <TotalTime>54</TotalTime>
  <ScaleCrop>false</ScaleCrop>
  <LinksUpToDate>false</LinksUpToDate>
  <CharactersWithSpaces>56091</CharactersWithSpaces>
  <Application>WPS Office_11.8.2.10953_F1E327BC-269C-435d-A152-05C5408002CA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2024-12-29T05:42:00Z</dcterms:created>
  <dc:creator>茴香馅的小包子</dc:creator>
  <dc:description>&lt;config cover="true" show_menu="true" version="1.0.0" doctype="SDKXY"&gt;_x000d_
&lt;/config&gt;</dc:description>
  <cp:lastModifiedBy>cheng</cp:lastModifiedBy>
  <cp:lastPrinted>2025-02-18T07:08:00Z</cp:lastPrinted>
  <dcterms:modified xsi:type="dcterms:W3CDTF">2025-02-25T10:17:26Z</dcterms:modified>
  <dc:title>国家标准</dc:title>
  <cp:revision>323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国家标准.wpt</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1</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KSOProductBuildVer">
    <vt:lpwstr>2052-11.8.2.10953</vt:lpwstr>
  </property>
  <property fmtid="{D5CDD505-2E9C-101B-9397-08002B2CF9AE}" pid="15" name="ICV">
    <vt:lpwstr>9BD30398A3194641A48FA4613847100B_13</vt:lpwstr>
  </property>
  <property fmtid="{D5CDD505-2E9C-101B-9397-08002B2CF9AE}" pid="16" name="KSOTemplateDocerSaveRecord">
    <vt:lpwstr>eyJoZGlkIjoiNjRlM2M1YTgwOWRlN2E0YTYyZGVlYjUyNGIzYWJjNDgiLCJ1c2VySWQiOiI4ODQ1MTY0NDcifQ==</vt:lpwstr>
  </property>
  <property fmtid="{D5CDD505-2E9C-101B-9397-08002B2CF9AE}" pid="17" name="hmcheck_markmode">
    <vt:i4>0</vt:i4>
  </property>
  <property fmtid="{D5CDD505-2E9C-101B-9397-08002B2CF9AE}" pid="18" name="hmcheck_taskpanetype">
    <vt:i4>1</vt:i4>
  </property>
</Properties>
</file>